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6B471" w14:textId="77777777" w:rsidR="007D37CC" w:rsidRPr="00AC0A51" w:rsidRDefault="007D37CC" w:rsidP="00AC0A51">
      <w:pPr>
        <w:spacing w:after="80" w:line="360" w:lineRule="auto"/>
        <w:jc w:val="center"/>
        <w:rPr>
          <w:rFonts w:ascii="Arial" w:eastAsia="Arial" w:hAnsi="Arial" w:cs="Arial"/>
          <w:sz w:val="36"/>
          <w:szCs w:val="36"/>
        </w:rPr>
      </w:pPr>
      <w:r w:rsidRPr="00AC0A51">
        <w:rPr>
          <w:rFonts w:ascii="Calibri" w:eastAsia="Arial" w:hAnsi="Calibri" w:cs="Calibri"/>
          <w:b/>
          <w:bCs/>
          <w:color w:val="000000"/>
          <w:spacing w:val="10"/>
          <w:kern w:val="0"/>
          <w:sz w:val="36"/>
          <w:szCs w:val="36"/>
          <w14:ligatures w14:val="none"/>
        </w:rPr>
        <w:t>Patio Homes of Chestnut Creek Homeowners Association</w:t>
      </w:r>
    </w:p>
    <w:p w14:paraId="7F55191B" w14:textId="77777777" w:rsidR="007D37CC" w:rsidRPr="00AC0A51" w:rsidRDefault="007D37CC" w:rsidP="00AC0A51">
      <w:pPr>
        <w:spacing w:after="80" w:line="360" w:lineRule="auto"/>
        <w:jc w:val="center"/>
        <w:rPr>
          <w:rFonts w:ascii="Arial" w:eastAsia="Arial" w:hAnsi="Arial" w:cs="Arial"/>
          <w:sz w:val="36"/>
          <w:szCs w:val="36"/>
        </w:rPr>
      </w:pPr>
      <w:r w:rsidRPr="00AC0A51">
        <w:rPr>
          <w:rFonts w:ascii="Calibri" w:eastAsia="Arial" w:hAnsi="Calibri" w:cs="Calibri"/>
          <w:b/>
          <w:bCs/>
          <w:color w:val="000000"/>
          <w:kern w:val="0"/>
          <w:sz w:val="36"/>
          <w:szCs w:val="36"/>
          <w14:ligatures w14:val="none"/>
        </w:rPr>
        <w:t>Treasurer's Report</w:t>
      </w:r>
    </w:p>
    <w:p w14:paraId="53247BF2" w14:textId="77777777" w:rsidR="00994C27" w:rsidRPr="007D37CC" w:rsidRDefault="00040C55">
      <w:pPr>
        <w:spacing w:after="60" w:line="360" w:lineRule="auto"/>
      </w:pPr>
      <w:r w:rsidRPr="007D37CC">
        <w:rPr>
          <w:rFonts w:ascii="Calibri" w:eastAsia="Arial" w:hAnsi="Calibri" w:cs="Calibri"/>
          <w:color w:val="000000"/>
          <w:kern w:val="0"/>
          <w:sz w:val="22"/>
          <w:szCs w:val="22"/>
          <w14:ligatures w14:val="none"/>
        </w:rPr>
        <w:t xml:space="preserve">For the Period Ending </w:t>
      </w:r>
      <w:r w:rsidR="002E0EF6">
        <w:rPr>
          <w:rFonts w:ascii="Calibri" w:hAnsi="Calibri" w:cs="Calibri"/>
          <w:color w:val="000000"/>
          <w:sz w:val="22"/>
          <w:szCs w:val="22"/>
        </w:rPr>
        <w:t>August</w:t>
      </w:r>
      <w:r w:rsidRPr="007D37CC">
        <w:rPr>
          <w:rFonts w:ascii="Calibri" w:eastAsia="Arial" w:hAnsi="Calibri" w:cs="Calibri"/>
          <w:color w:val="000000"/>
          <w:kern w:val="0"/>
          <w:sz w:val="22"/>
          <w:szCs w:val="22"/>
          <w14:ligatures w14:val="none"/>
        </w:rPr>
        <w:t xml:space="preserve"> 31, </w:t>
      </w:r>
      <w:proofErr w:type="gramStart"/>
      <w:r w:rsidRPr="007D37CC">
        <w:rPr>
          <w:rFonts w:ascii="Calibri" w:eastAsia="Arial" w:hAnsi="Calibri" w:cs="Calibri"/>
          <w:color w:val="000000"/>
          <w:kern w:val="0"/>
          <w:sz w:val="22"/>
          <w:szCs w:val="22"/>
          <w14:ligatures w14:val="none"/>
        </w:rPr>
        <w:t>2026  |</w:t>
      </w:r>
      <w:proofErr w:type="gramEnd"/>
      <w:r w:rsidRPr="007D37CC">
        <w:rPr>
          <w:rFonts w:ascii="Calibri" w:eastAsia="Arial" w:hAnsi="Calibri" w:cs="Calibri"/>
          <w:color w:val="000000"/>
          <w:kern w:val="0"/>
          <w:sz w:val="22"/>
          <w:szCs w:val="22"/>
          <w14:ligatures w14:val="none"/>
        </w:rPr>
        <w:t xml:space="preserve">  Monthly Financial Summary</w:t>
      </w:r>
    </w:p>
    <w:tbl>
      <w:tblPr>
        <w:tblW w:w="5000" w:type="pct"/>
        <w:tblCellMar>
          <w:left w:w="0" w:type="dxa"/>
          <w:right w:w="0" w:type="dxa"/>
        </w:tblCellMar>
        <w:tblLook w:val="04A0" w:firstRow="1" w:lastRow="0" w:firstColumn="1" w:lastColumn="0" w:noHBand="0" w:noVBand="1"/>
      </w:tblPr>
      <w:tblGrid>
        <w:gridCol w:w="1308"/>
        <w:gridCol w:w="5046"/>
        <w:gridCol w:w="1215"/>
        <w:gridCol w:w="1775"/>
      </w:tblGrid>
      <w:tr w:rsidR="007D37CC" w:rsidRPr="007D37CC" w14:paraId="637FEA90" w14:textId="77777777" w:rsidTr="008148EE">
        <w:tc>
          <w:tcPr>
            <w:tcW w:w="700" w:type="pct"/>
            <w:tcBorders>
              <w:top w:val="outset" w:sz="6" w:space="0" w:color="auto"/>
              <w:left w:val="outset" w:sz="6" w:space="0" w:color="auto"/>
              <w:bottom w:val="outset" w:sz="6" w:space="0" w:color="auto"/>
              <w:right w:val="outset" w:sz="6" w:space="0" w:color="auto"/>
            </w:tcBorders>
            <w:tcMar>
              <w:top w:w="90" w:type="dxa"/>
              <w:left w:w="135" w:type="dxa"/>
              <w:bottom w:w="90" w:type="dxa"/>
              <w:right w:w="135" w:type="dxa"/>
            </w:tcMar>
            <w:hideMark/>
          </w:tcPr>
          <w:p w14:paraId="6B57ECE7" w14:textId="77777777" w:rsidR="007D37CC" w:rsidRPr="007D37CC" w:rsidRDefault="007D37CC" w:rsidP="007D37CC">
            <w:pPr>
              <w:spacing w:after="0" w:line="240" w:lineRule="auto"/>
              <w:rPr>
                <w:rFonts w:ascii="Arial" w:eastAsia="Arial" w:hAnsi="Arial" w:cs="Arial"/>
              </w:rPr>
            </w:pPr>
            <w:r w:rsidRPr="007D37CC">
              <w:rPr>
                <w:rFonts w:ascii="Calibri" w:eastAsia="Arial" w:hAnsi="Calibri" w:cs="Calibri"/>
                <w:color w:val="333333"/>
                <w:kern w:val="0"/>
                <w:sz w:val="20"/>
                <w:szCs w:val="20"/>
                <w14:ligatures w14:val="none"/>
              </w:rPr>
              <w:t>Prepared By:</w:t>
            </w:r>
          </w:p>
        </w:tc>
        <w:tc>
          <w:tcPr>
            <w:tcW w:w="2700" w:type="pct"/>
            <w:tcBorders>
              <w:top w:val="outset" w:sz="6" w:space="0" w:color="auto"/>
              <w:left w:val="outset" w:sz="6" w:space="0" w:color="auto"/>
              <w:bottom w:val="outset" w:sz="6" w:space="0" w:color="auto"/>
              <w:right w:val="outset" w:sz="6" w:space="0" w:color="auto"/>
            </w:tcBorders>
            <w:tcMar>
              <w:top w:w="90" w:type="dxa"/>
              <w:left w:w="135" w:type="dxa"/>
              <w:bottom w:w="90" w:type="dxa"/>
              <w:right w:w="135" w:type="dxa"/>
            </w:tcMar>
            <w:hideMark/>
          </w:tcPr>
          <w:p w14:paraId="27284657" w14:textId="77777777" w:rsidR="007D37CC" w:rsidRPr="007D37CC" w:rsidRDefault="007D37CC" w:rsidP="007D37CC">
            <w:pPr>
              <w:spacing w:after="0" w:line="240" w:lineRule="auto"/>
              <w:rPr>
                <w:rFonts w:ascii="Arial" w:eastAsia="Arial" w:hAnsi="Arial" w:cs="Arial"/>
                <w:kern w:val="0"/>
                <w14:ligatures w14:val="none"/>
              </w:rPr>
            </w:pPr>
            <w:r w:rsidRPr="007D37CC">
              <w:rPr>
                <w:rFonts w:ascii="Calibri" w:eastAsia="Arial" w:hAnsi="Calibri" w:cs="Calibri"/>
                <w:color w:val="333333"/>
                <w:kern w:val="0"/>
                <w:sz w:val="20"/>
                <w:szCs w:val="20"/>
                <w14:ligatures w14:val="none"/>
              </w:rPr>
              <w:t>Bill Davis</w:t>
            </w:r>
          </w:p>
        </w:tc>
        <w:tc>
          <w:tcPr>
            <w:tcW w:w="650" w:type="pct"/>
            <w:tcBorders>
              <w:top w:val="outset" w:sz="6" w:space="0" w:color="auto"/>
              <w:left w:val="outset" w:sz="6" w:space="0" w:color="auto"/>
              <w:bottom w:val="outset" w:sz="6" w:space="0" w:color="auto"/>
              <w:right w:val="outset" w:sz="6" w:space="0" w:color="auto"/>
            </w:tcBorders>
            <w:tcMar>
              <w:top w:w="90" w:type="dxa"/>
              <w:left w:w="135" w:type="dxa"/>
              <w:bottom w:w="90" w:type="dxa"/>
              <w:right w:w="135" w:type="dxa"/>
            </w:tcMar>
            <w:hideMark/>
          </w:tcPr>
          <w:p w14:paraId="4F1F4B26" w14:textId="77777777" w:rsidR="007D37CC" w:rsidRPr="007D37CC" w:rsidRDefault="007D37CC" w:rsidP="007D37CC">
            <w:pPr>
              <w:spacing w:after="0" w:line="240" w:lineRule="auto"/>
              <w:rPr>
                <w:rFonts w:ascii="Arial" w:eastAsia="Arial" w:hAnsi="Arial" w:cs="Arial"/>
                <w:kern w:val="0"/>
                <w14:ligatures w14:val="none"/>
              </w:rPr>
            </w:pPr>
            <w:r w:rsidRPr="007D37CC">
              <w:rPr>
                <w:rFonts w:ascii="Calibri" w:eastAsia="Arial" w:hAnsi="Calibri" w:cs="Calibri"/>
                <w:color w:val="333333"/>
                <w:kern w:val="0"/>
                <w:sz w:val="20"/>
                <w:szCs w:val="20"/>
                <w14:ligatures w14:val="none"/>
              </w:rPr>
              <w:t>Report Date:</w:t>
            </w:r>
          </w:p>
        </w:tc>
        <w:tc>
          <w:tcPr>
            <w:tcW w:w="950" w:type="pct"/>
            <w:tcBorders>
              <w:top w:val="outset" w:sz="6" w:space="0" w:color="auto"/>
              <w:left w:val="outset" w:sz="6" w:space="0" w:color="auto"/>
              <w:bottom w:val="outset" w:sz="6" w:space="0" w:color="auto"/>
              <w:right w:val="outset" w:sz="6" w:space="0" w:color="auto"/>
            </w:tcBorders>
            <w:tcMar>
              <w:top w:w="90" w:type="dxa"/>
              <w:left w:w="135" w:type="dxa"/>
              <w:bottom w:w="90" w:type="dxa"/>
              <w:right w:w="135" w:type="dxa"/>
            </w:tcMar>
            <w:hideMark/>
          </w:tcPr>
          <w:p w14:paraId="7E92DEF2" w14:textId="0FCAC4C1" w:rsidR="007D37CC" w:rsidRPr="007D37CC" w:rsidRDefault="00A57376" w:rsidP="00A57376">
            <w:pPr>
              <w:spacing w:after="0"/>
              <w:rPr>
                <w:rFonts w:ascii="Arial" w:eastAsia="Arial" w:hAnsi="Arial" w:cs="Arial"/>
                <w:kern w:val="0"/>
                <w14:ligatures w14:val="none"/>
              </w:rPr>
            </w:pPr>
            <w:r>
              <w:rPr>
                <w:rFonts w:ascii="Calibri" w:hAnsi="Calibri" w:cs="Calibri"/>
                <w:color w:val="333333"/>
                <w:sz w:val="20"/>
                <w:szCs w:val="20"/>
              </w:rPr>
              <w:t>September</w:t>
            </w:r>
            <w:r w:rsidR="00040C55" w:rsidRPr="007D37CC">
              <w:rPr>
                <w:rFonts w:ascii="Calibri" w:eastAsia="Arial" w:hAnsi="Calibri" w:cs="Calibri"/>
                <w:color w:val="333333"/>
                <w:kern w:val="0"/>
                <w:sz w:val="20"/>
                <w:szCs w:val="20"/>
                <w14:ligatures w14:val="none"/>
              </w:rPr>
              <w:t xml:space="preserve"> 2026</w:t>
            </w:r>
          </w:p>
        </w:tc>
      </w:tr>
      <w:tr w:rsidR="007D37CC" w:rsidRPr="007D37CC" w14:paraId="62202395" w14:textId="77777777" w:rsidTr="008148EE">
        <w:tc>
          <w:tcPr>
            <w:tcW w:w="700" w:type="pct"/>
            <w:tcBorders>
              <w:top w:val="outset" w:sz="6" w:space="0" w:color="auto"/>
              <w:left w:val="outset" w:sz="6" w:space="0" w:color="auto"/>
              <w:bottom w:val="outset" w:sz="6" w:space="0" w:color="auto"/>
              <w:right w:val="outset" w:sz="6" w:space="0" w:color="auto"/>
            </w:tcBorders>
            <w:tcMar>
              <w:top w:w="90" w:type="dxa"/>
              <w:left w:w="135" w:type="dxa"/>
              <w:bottom w:w="90" w:type="dxa"/>
              <w:right w:w="135" w:type="dxa"/>
            </w:tcMar>
            <w:hideMark/>
          </w:tcPr>
          <w:p w14:paraId="3D5691DF" w14:textId="77777777" w:rsidR="007D37CC" w:rsidRPr="007D37CC" w:rsidRDefault="007D37CC" w:rsidP="007D37CC">
            <w:pPr>
              <w:spacing w:after="0" w:line="240" w:lineRule="auto"/>
              <w:rPr>
                <w:rFonts w:ascii="Arial" w:eastAsia="Arial" w:hAnsi="Arial" w:cs="Arial"/>
                <w:kern w:val="0"/>
                <w14:ligatures w14:val="none"/>
              </w:rPr>
            </w:pPr>
            <w:r w:rsidRPr="007D37CC">
              <w:rPr>
                <w:rFonts w:ascii="Calibri" w:eastAsia="Arial" w:hAnsi="Calibri" w:cs="Calibri"/>
                <w:color w:val="333333"/>
                <w:kern w:val="0"/>
                <w:sz w:val="20"/>
                <w:szCs w:val="20"/>
                <w14:ligatures w14:val="none"/>
              </w:rPr>
              <w:t>Reporting Period:</w:t>
            </w:r>
          </w:p>
        </w:tc>
        <w:tc>
          <w:tcPr>
            <w:tcW w:w="2700" w:type="pct"/>
            <w:tcBorders>
              <w:top w:val="outset" w:sz="6" w:space="0" w:color="auto"/>
              <w:left w:val="outset" w:sz="6" w:space="0" w:color="auto"/>
              <w:bottom w:val="outset" w:sz="6" w:space="0" w:color="auto"/>
              <w:right w:val="outset" w:sz="6" w:space="0" w:color="auto"/>
            </w:tcBorders>
            <w:tcMar>
              <w:top w:w="90" w:type="dxa"/>
              <w:left w:w="135" w:type="dxa"/>
              <w:bottom w:w="90" w:type="dxa"/>
              <w:right w:w="135" w:type="dxa"/>
            </w:tcMar>
            <w:hideMark/>
          </w:tcPr>
          <w:p w14:paraId="3D26DFA5" w14:textId="7977F7CF" w:rsidR="007D37CC" w:rsidRPr="007D37CC" w:rsidRDefault="00040C55" w:rsidP="000065C9">
            <w:pPr>
              <w:spacing w:after="0"/>
              <w:rPr>
                <w:rFonts w:ascii="Arial" w:eastAsia="Arial" w:hAnsi="Arial" w:cs="Arial"/>
                <w:kern w:val="0"/>
                <w14:ligatures w14:val="none"/>
              </w:rPr>
            </w:pPr>
            <w:r w:rsidRPr="007D37CC">
              <w:rPr>
                <w:rFonts w:ascii="Calibri" w:eastAsia="Arial" w:hAnsi="Calibri" w:cs="Calibri"/>
                <w:color w:val="333333"/>
                <w:kern w:val="0"/>
                <w:sz w:val="20"/>
                <w:szCs w:val="20"/>
                <w14:ligatures w14:val="none"/>
              </w:rPr>
              <w:t xml:space="preserve">January 1, 2026 – </w:t>
            </w:r>
            <w:r w:rsidR="000065C9">
              <w:rPr>
                <w:rFonts w:ascii="Calibri" w:hAnsi="Calibri" w:cs="Calibri"/>
                <w:color w:val="333333"/>
                <w:sz w:val="20"/>
                <w:szCs w:val="20"/>
              </w:rPr>
              <w:t>August</w:t>
            </w:r>
            <w:r w:rsidRPr="007D37CC">
              <w:rPr>
                <w:rFonts w:ascii="Calibri" w:eastAsia="Arial" w:hAnsi="Calibri" w:cs="Calibri"/>
                <w:color w:val="333333"/>
                <w:kern w:val="0"/>
                <w:sz w:val="20"/>
                <w:szCs w:val="20"/>
                <w14:ligatures w14:val="none"/>
              </w:rPr>
              <w:t xml:space="preserve"> 31, 2026</w:t>
            </w:r>
          </w:p>
        </w:tc>
        <w:tc>
          <w:tcPr>
            <w:tcW w:w="650" w:type="pct"/>
            <w:tcBorders>
              <w:top w:val="outset" w:sz="6" w:space="0" w:color="auto"/>
              <w:left w:val="outset" w:sz="6" w:space="0" w:color="auto"/>
              <w:bottom w:val="outset" w:sz="6" w:space="0" w:color="auto"/>
              <w:right w:val="outset" w:sz="6" w:space="0" w:color="auto"/>
            </w:tcBorders>
            <w:tcMar>
              <w:top w:w="90" w:type="dxa"/>
              <w:left w:w="135" w:type="dxa"/>
              <w:bottom w:w="90" w:type="dxa"/>
              <w:right w:w="135" w:type="dxa"/>
            </w:tcMar>
            <w:hideMark/>
          </w:tcPr>
          <w:p w14:paraId="175E894C" w14:textId="77777777" w:rsidR="007D37CC" w:rsidRPr="007D37CC" w:rsidRDefault="007D37CC" w:rsidP="007D37CC">
            <w:pPr>
              <w:spacing w:after="0" w:line="240" w:lineRule="auto"/>
              <w:rPr>
                <w:rFonts w:ascii="Arial" w:eastAsia="Arial" w:hAnsi="Arial" w:cs="Arial"/>
                <w:kern w:val="0"/>
                <w14:ligatures w14:val="none"/>
              </w:rPr>
            </w:pPr>
            <w:r w:rsidRPr="007D37CC">
              <w:rPr>
                <w:rFonts w:ascii="Calibri" w:eastAsia="Arial" w:hAnsi="Calibri" w:cs="Calibri"/>
                <w:color w:val="333333"/>
                <w:kern w:val="0"/>
                <w:sz w:val="20"/>
                <w:szCs w:val="20"/>
                <w14:ligatures w14:val="none"/>
              </w:rPr>
              <w:t>Distributed To:</w:t>
            </w:r>
          </w:p>
        </w:tc>
        <w:tc>
          <w:tcPr>
            <w:tcW w:w="950" w:type="pct"/>
            <w:tcBorders>
              <w:top w:val="outset" w:sz="6" w:space="0" w:color="auto"/>
              <w:left w:val="outset" w:sz="6" w:space="0" w:color="auto"/>
              <w:bottom w:val="outset" w:sz="6" w:space="0" w:color="auto"/>
              <w:right w:val="outset" w:sz="6" w:space="0" w:color="auto"/>
            </w:tcBorders>
            <w:tcMar>
              <w:top w:w="90" w:type="dxa"/>
              <w:left w:w="135" w:type="dxa"/>
              <w:bottom w:w="90" w:type="dxa"/>
              <w:right w:w="135" w:type="dxa"/>
            </w:tcMar>
            <w:hideMark/>
          </w:tcPr>
          <w:p w14:paraId="20C5DF9C" w14:textId="77777777" w:rsidR="007D37CC" w:rsidRPr="007D37CC" w:rsidRDefault="007D37CC" w:rsidP="007D37CC">
            <w:pPr>
              <w:spacing w:after="0" w:line="240" w:lineRule="auto"/>
              <w:rPr>
                <w:rFonts w:ascii="Arial" w:eastAsia="Arial" w:hAnsi="Arial" w:cs="Arial"/>
                <w:kern w:val="0"/>
                <w14:ligatures w14:val="none"/>
              </w:rPr>
            </w:pPr>
            <w:r w:rsidRPr="007D37CC">
              <w:rPr>
                <w:rFonts w:ascii="Calibri" w:eastAsia="Arial" w:hAnsi="Calibri" w:cs="Calibri"/>
                <w:color w:val="333333"/>
                <w:kern w:val="0"/>
                <w:sz w:val="20"/>
                <w:szCs w:val="20"/>
                <w14:ligatures w14:val="none"/>
              </w:rPr>
              <w:t>Residents &amp; Board of Directors</w:t>
            </w:r>
          </w:p>
        </w:tc>
      </w:tr>
      <w:tr w:rsidR="007D37CC" w:rsidRPr="007D37CC" w14:paraId="52B16100" w14:textId="77777777" w:rsidTr="008148EE">
        <w:tc>
          <w:tcPr>
            <w:tcW w:w="700" w:type="pct"/>
            <w:tcBorders>
              <w:top w:val="outset" w:sz="6" w:space="0" w:color="auto"/>
              <w:left w:val="outset" w:sz="6" w:space="0" w:color="auto"/>
              <w:bottom w:val="outset" w:sz="6" w:space="0" w:color="auto"/>
              <w:right w:val="outset" w:sz="6" w:space="0" w:color="auto"/>
            </w:tcBorders>
            <w:tcMar>
              <w:top w:w="90" w:type="dxa"/>
              <w:left w:w="135" w:type="dxa"/>
              <w:bottom w:w="90" w:type="dxa"/>
              <w:right w:w="135" w:type="dxa"/>
            </w:tcMar>
            <w:hideMark/>
          </w:tcPr>
          <w:p w14:paraId="06020903" w14:textId="77777777" w:rsidR="007D37CC" w:rsidRPr="007D37CC" w:rsidRDefault="007D37CC" w:rsidP="007D37CC">
            <w:pPr>
              <w:spacing w:after="0" w:line="240" w:lineRule="auto"/>
              <w:rPr>
                <w:rFonts w:ascii="Arial" w:eastAsia="Arial" w:hAnsi="Arial" w:cs="Arial"/>
                <w:kern w:val="0"/>
                <w14:ligatures w14:val="none"/>
              </w:rPr>
            </w:pPr>
            <w:r w:rsidRPr="007D37CC">
              <w:rPr>
                <w:rFonts w:ascii="Calibri" w:eastAsia="Arial" w:hAnsi="Calibri" w:cs="Calibri"/>
                <w:color w:val="333333"/>
                <w:kern w:val="0"/>
                <w:sz w:val="20"/>
                <w:szCs w:val="20"/>
                <w14:ligatures w14:val="none"/>
              </w:rPr>
              <w:t>Source:</w:t>
            </w:r>
          </w:p>
        </w:tc>
        <w:tc>
          <w:tcPr>
            <w:tcW w:w="0" w:type="auto"/>
            <w:gridSpan w:val="3"/>
            <w:tcBorders>
              <w:top w:val="outset" w:sz="6" w:space="0" w:color="auto"/>
              <w:left w:val="outset" w:sz="6" w:space="0" w:color="auto"/>
              <w:bottom w:val="outset" w:sz="6" w:space="0" w:color="auto"/>
              <w:right w:val="outset" w:sz="6" w:space="0" w:color="auto"/>
            </w:tcBorders>
            <w:tcMar>
              <w:top w:w="90" w:type="dxa"/>
              <w:left w:w="135" w:type="dxa"/>
              <w:bottom w:w="90" w:type="dxa"/>
              <w:right w:w="135" w:type="dxa"/>
            </w:tcMar>
            <w:hideMark/>
          </w:tcPr>
          <w:p w14:paraId="17207190" w14:textId="53CC9982" w:rsidR="007D37CC" w:rsidRPr="007D37CC" w:rsidRDefault="00040C55" w:rsidP="000A07B7">
            <w:pPr>
              <w:spacing w:after="0"/>
              <w:rPr>
                <w:rFonts w:ascii="Arial" w:eastAsia="Arial" w:hAnsi="Arial" w:cs="Arial"/>
                <w:kern w:val="0"/>
                <w14:ligatures w14:val="none"/>
              </w:rPr>
            </w:pPr>
            <w:r w:rsidRPr="007D37CC">
              <w:rPr>
                <w:rFonts w:ascii="Calibri" w:eastAsia="Arial" w:hAnsi="Calibri" w:cs="Calibri"/>
                <w:color w:val="333333"/>
                <w:kern w:val="0"/>
                <w:sz w:val="20"/>
                <w:szCs w:val="20"/>
                <w14:ligatures w14:val="none"/>
              </w:rPr>
              <w:t xml:space="preserve">Based on </w:t>
            </w:r>
            <w:proofErr w:type="gramStart"/>
            <w:r w:rsidRPr="007D37CC">
              <w:rPr>
                <w:rFonts w:ascii="Calibri" w:eastAsia="Arial" w:hAnsi="Calibri" w:cs="Calibri"/>
                <w:color w:val="333333"/>
                <w:kern w:val="0"/>
                <w:sz w:val="20"/>
                <w:szCs w:val="20"/>
                <w14:ligatures w14:val="none"/>
              </w:rPr>
              <w:t xml:space="preserve">the </w:t>
            </w:r>
            <w:r w:rsidR="000A07B7">
              <w:rPr>
                <w:rFonts w:ascii="Calibri" w:hAnsi="Calibri" w:cs="Calibri"/>
                <w:color w:val="333333"/>
                <w:sz w:val="20"/>
                <w:szCs w:val="20"/>
              </w:rPr>
              <w:t>August</w:t>
            </w:r>
            <w:proofErr w:type="gramEnd"/>
            <w:r w:rsidRPr="007D37CC">
              <w:rPr>
                <w:rFonts w:ascii="Calibri" w:eastAsia="Arial" w:hAnsi="Calibri" w:cs="Calibri"/>
                <w:color w:val="333333"/>
                <w:kern w:val="0"/>
                <w:sz w:val="20"/>
                <w:szCs w:val="20"/>
                <w14:ligatures w14:val="none"/>
              </w:rPr>
              <w:t xml:space="preserve"> 31, </w:t>
            </w:r>
            <w:proofErr w:type="gramStart"/>
            <w:r w:rsidRPr="007D37CC">
              <w:rPr>
                <w:rFonts w:ascii="Calibri" w:eastAsia="Arial" w:hAnsi="Calibri" w:cs="Calibri"/>
                <w:color w:val="333333"/>
                <w:kern w:val="0"/>
                <w:sz w:val="20"/>
                <w:szCs w:val="20"/>
                <w14:ligatures w14:val="none"/>
              </w:rPr>
              <w:t>2026</w:t>
            </w:r>
            <w:proofErr w:type="gramEnd"/>
            <w:r w:rsidRPr="007D37CC">
              <w:rPr>
                <w:rFonts w:ascii="Calibri" w:eastAsia="Arial" w:hAnsi="Calibri" w:cs="Calibri"/>
                <w:color w:val="333333"/>
                <w:kern w:val="0"/>
                <w:sz w:val="20"/>
                <w:szCs w:val="20"/>
                <w14:ligatures w14:val="none"/>
              </w:rPr>
              <w:t xml:space="preserve"> Financial Report </w:t>
            </w:r>
            <w:r w:rsidR="000A07B7">
              <w:rPr>
                <w:rFonts w:ascii="Calibri" w:hAnsi="Calibri" w:cs="Calibri"/>
                <w:color w:val="333333"/>
                <w:sz w:val="20"/>
                <w:szCs w:val="20"/>
              </w:rPr>
              <w:t xml:space="preserve">prepared by Sunstate Association Management Group, Inc., </w:t>
            </w:r>
            <w:r w:rsidRPr="007D37CC">
              <w:rPr>
                <w:rFonts w:ascii="Calibri" w:eastAsia="Arial" w:hAnsi="Calibri" w:cs="Calibri"/>
                <w:color w:val="333333"/>
                <w:kern w:val="0"/>
                <w:sz w:val="20"/>
                <w:szCs w:val="20"/>
                <w14:ligatures w14:val="none"/>
              </w:rPr>
              <w:t xml:space="preserve">available to </w:t>
            </w:r>
            <w:r w:rsidRPr="007D37CC">
              <w:rPr>
                <w:rFonts w:ascii="Calibri" w:eastAsia="Arial" w:hAnsi="Calibri" w:cs="Calibri"/>
                <w:color w:val="333333"/>
                <w:kern w:val="0"/>
                <w:sz w:val="20"/>
                <w:szCs w:val="20"/>
                <w14:ligatures w14:val="none"/>
              </w:rPr>
              <w:t xml:space="preserve">residents </w:t>
            </w:r>
            <w:r w:rsidRPr="007D37CC">
              <w:rPr>
                <w:rFonts w:ascii="Calibri" w:eastAsia="Arial" w:hAnsi="Calibri" w:cs="Calibri"/>
                <w:color w:val="333333"/>
                <w:kern w:val="0"/>
                <w:sz w:val="20"/>
                <w:szCs w:val="20"/>
                <w14:ligatures w14:val="none"/>
              </w:rPr>
              <w:t xml:space="preserve">through </w:t>
            </w:r>
            <w:r w:rsidR="000A07B7">
              <w:rPr>
                <w:rFonts w:ascii="Calibri" w:hAnsi="Calibri" w:cs="Calibri"/>
                <w:color w:val="333333"/>
                <w:sz w:val="20"/>
                <w:szCs w:val="20"/>
              </w:rPr>
              <w:t>Association financial records and online resources</w:t>
            </w:r>
            <w:r w:rsidRPr="007D37CC">
              <w:rPr>
                <w:rFonts w:ascii="Calibri" w:eastAsia="Arial" w:hAnsi="Calibri" w:cs="Calibri"/>
                <w:color w:val="333333"/>
                <w:kern w:val="0"/>
                <w:sz w:val="20"/>
                <w:szCs w:val="20"/>
                <w14:ligatures w14:val="none"/>
              </w:rPr>
              <w:t>.</w:t>
            </w:r>
          </w:p>
        </w:tc>
      </w:tr>
    </w:tbl>
    <w:p w14:paraId="79E325F9" w14:textId="77777777" w:rsidR="007D37CC" w:rsidRPr="007D37CC" w:rsidRDefault="007D37CC" w:rsidP="007D37CC">
      <w:pPr>
        <w:spacing w:after="0" w:line="240" w:lineRule="auto"/>
        <w:rPr>
          <w:rFonts w:ascii="Arial" w:eastAsia="Arial" w:hAnsi="Arial" w:cs="Arial"/>
        </w:rPr>
      </w:pPr>
    </w:p>
    <w:p w14:paraId="1A34ADA8" w14:textId="77777777" w:rsidR="007D37CC" w:rsidRPr="007D37CC" w:rsidRDefault="007D37CC" w:rsidP="007D37CC">
      <w:pPr>
        <w:spacing w:before="60" w:after="60" w:line="360" w:lineRule="auto"/>
        <w:rPr>
          <w:rFonts w:ascii="Arial" w:eastAsia="Arial" w:hAnsi="Arial" w:cs="Arial"/>
        </w:rPr>
      </w:pPr>
      <w:r w:rsidRPr="007D37CC">
        <w:rPr>
          <w:rFonts w:ascii="Calibri" w:eastAsia="Arial" w:hAnsi="Calibri" w:cs="Calibri"/>
          <w:color w:val="555555"/>
          <w:spacing w:val="16"/>
          <w:kern w:val="0"/>
          <w:sz w:val="18"/>
          <w:szCs w:val="18"/>
          <w14:ligatures w14:val="none"/>
        </w:rPr>
        <w:t>SECTION 1</w:t>
      </w:r>
    </w:p>
    <w:p w14:paraId="195CDBF7" w14:textId="77777777" w:rsidR="0079282B" w:rsidRPr="0079282B" w:rsidRDefault="0079282B" w:rsidP="0079282B">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9282B">
        <w:rPr>
          <w:rFonts w:ascii="Segoe UI" w:eastAsia="Times New Roman" w:hAnsi="Segoe UI" w:cs="Segoe UI"/>
          <w:b/>
          <w:bCs/>
          <w:kern w:val="36"/>
          <w:sz w:val="48"/>
          <w:szCs w:val="48"/>
          <w14:ligatures w14:val="none"/>
        </w:rPr>
        <w:t>Executive Summary</w:t>
      </w:r>
    </w:p>
    <w:p w14:paraId="1A6F5618" w14:textId="532F6957" w:rsidR="0079282B" w:rsidRPr="0079282B" w:rsidRDefault="0079282B" w:rsidP="0079282B">
      <w:pPr>
        <w:spacing w:before="100" w:beforeAutospacing="1" w:after="100" w:afterAutospacing="1" w:line="300" w:lineRule="atLeast"/>
        <w:rPr>
          <w:rFonts w:ascii="Segoe UI" w:eastAsia="Times New Roman" w:hAnsi="Segoe UI" w:cs="Segoe UI"/>
          <w:kern w:val="0"/>
          <w:sz w:val="21"/>
          <w:szCs w:val="21"/>
          <w14:ligatures w14:val="none"/>
        </w:rPr>
      </w:pPr>
      <w:r w:rsidRPr="0079282B">
        <w:rPr>
          <w:rFonts w:ascii="Segoe UI" w:eastAsia="Times New Roman" w:hAnsi="Segoe UI" w:cs="Segoe UI"/>
          <w:kern w:val="0"/>
          <w:sz w:val="21"/>
          <w:szCs w:val="21"/>
          <w14:ligatures w14:val="none"/>
        </w:rPr>
        <w:t xml:space="preserve">As of August 31, 2026, the Association remains in a stable financial position. Total assets were approximately </w:t>
      </w:r>
      <w:r w:rsidRPr="0079282B">
        <w:rPr>
          <w:rFonts w:ascii="Segoe UI" w:eastAsia="Times New Roman" w:hAnsi="Segoe UI" w:cs="Segoe UI"/>
          <w:b/>
          <w:bCs/>
          <w:kern w:val="0"/>
          <w:sz w:val="21"/>
          <w:szCs w:val="21"/>
          <w14:ligatures w14:val="none"/>
        </w:rPr>
        <w:t>$479,994</w:t>
      </w:r>
      <w:r w:rsidRPr="0079282B">
        <w:rPr>
          <w:rFonts w:ascii="Segoe UI" w:eastAsia="Times New Roman" w:hAnsi="Segoe UI" w:cs="Segoe UI"/>
          <w:kern w:val="0"/>
          <w:sz w:val="21"/>
          <w:szCs w:val="21"/>
          <w14:ligatures w14:val="none"/>
        </w:rPr>
        <w:t xml:space="preserve">, consisting of approximately </w:t>
      </w:r>
      <w:r w:rsidRPr="0079282B">
        <w:rPr>
          <w:rFonts w:ascii="Segoe UI" w:eastAsia="Times New Roman" w:hAnsi="Segoe UI" w:cs="Segoe UI"/>
          <w:b/>
          <w:bCs/>
          <w:kern w:val="0"/>
          <w:sz w:val="21"/>
          <w:szCs w:val="21"/>
          <w14:ligatures w14:val="none"/>
        </w:rPr>
        <w:t>$112,530</w:t>
      </w:r>
      <w:r w:rsidRPr="0079282B">
        <w:rPr>
          <w:rFonts w:ascii="Segoe UI" w:eastAsia="Times New Roman" w:hAnsi="Segoe UI" w:cs="Segoe UI"/>
          <w:kern w:val="0"/>
          <w:sz w:val="21"/>
          <w:szCs w:val="21"/>
          <w14:ligatures w14:val="none"/>
        </w:rPr>
        <w:t xml:space="preserve"> in operating assets and </w:t>
      </w:r>
      <w:r w:rsidRPr="0079282B">
        <w:rPr>
          <w:rFonts w:ascii="Segoe UI" w:eastAsia="Times New Roman" w:hAnsi="Segoe UI" w:cs="Segoe UI"/>
          <w:b/>
          <w:bCs/>
          <w:kern w:val="0"/>
          <w:sz w:val="21"/>
          <w:szCs w:val="21"/>
          <w14:ligatures w14:val="none"/>
        </w:rPr>
        <w:t>$367,463</w:t>
      </w:r>
      <w:r w:rsidRPr="0079282B">
        <w:rPr>
          <w:rFonts w:ascii="Segoe UI" w:eastAsia="Times New Roman" w:hAnsi="Segoe UI" w:cs="Segoe UI"/>
          <w:kern w:val="0"/>
          <w:sz w:val="21"/>
          <w:szCs w:val="21"/>
          <w14:ligatures w14:val="none"/>
        </w:rPr>
        <w:t xml:space="preserve"> in reserve assets. Operating cash remains strong, with approximately </w:t>
      </w:r>
      <w:r w:rsidRPr="0079282B">
        <w:rPr>
          <w:rFonts w:ascii="Segoe UI" w:eastAsia="Times New Roman" w:hAnsi="Segoe UI" w:cs="Segoe UI"/>
          <w:b/>
          <w:bCs/>
          <w:kern w:val="0"/>
          <w:sz w:val="21"/>
          <w:szCs w:val="21"/>
          <w14:ligatures w14:val="none"/>
        </w:rPr>
        <w:t>$87,416</w:t>
      </w:r>
      <w:r w:rsidRPr="0079282B">
        <w:rPr>
          <w:rFonts w:ascii="Segoe UI" w:eastAsia="Times New Roman" w:hAnsi="Segoe UI" w:cs="Segoe UI"/>
          <w:kern w:val="0"/>
          <w:sz w:val="21"/>
          <w:szCs w:val="21"/>
          <w14:ligatures w14:val="none"/>
        </w:rPr>
        <w:t xml:space="preserve"> held in the Association's operating bank accounts and total operating assets of approximately </w:t>
      </w:r>
      <w:r w:rsidRPr="0079282B">
        <w:rPr>
          <w:rFonts w:ascii="Segoe UI" w:eastAsia="Times New Roman" w:hAnsi="Segoe UI" w:cs="Segoe UI"/>
          <w:b/>
          <w:bCs/>
          <w:kern w:val="0"/>
          <w:sz w:val="21"/>
          <w:szCs w:val="21"/>
          <w14:ligatures w14:val="none"/>
        </w:rPr>
        <w:t>$112,530</w:t>
      </w:r>
      <w:r w:rsidRPr="0079282B">
        <w:rPr>
          <w:rFonts w:ascii="Segoe UI" w:eastAsia="Times New Roman" w:hAnsi="Segoe UI" w:cs="Segoe UI"/>
          <w:kern w:val="0"/>
          <w:sz w:val="21"/>
          <w:szCs w:val="21"/>
          <w14:ligatures w14:val="none"/>
        </w:rPr>
        <w:t xml:space="preserve">. The Association currently averages approximately </w:t>
      </w:r>
      <w:r w:rsidRPr="0079282B">
        <w:rPr>
          <w:rFonts w:ascii="Segoe UI" w:eastAsia="Times New Roman" w:hAnsi="Segoe UI" w:cs="Segoe UI"/>
          <w:b/>
          <w:bCs/>
          <w:kern w:val="0"/>
          <w:sz w:val="21"/>
          <w:szCs w:val="21"/>
          <w14:ligatures w14:val="none"/>
        </w:rPr>
        <w:t>$28,000 in monthly operating expenses</w:t>
      </w:r>
      <w:r w:rsidRPr="0079282B">
        <w:rPr>
          <w:rFonts w:ascii="Segoe UI" w:eastAsia="Times New Roman" w:hAnsi="Segoe UI" w:cs="Segoe UI"/>
          <w:kern w:val="0"/>
          <w:sz w:val="21"/>
          <w:szCs w:val="21"/>
          <w14:ligatures w14:val="none"/>
        </w:rPr>
        <w:t xml:space="preserve">. Industry best practices generally recommend that homeowners associations maintain operating cash reserves equal to one to two months of average operating expenses. Based on current balances, the Association maintains operating cash equal to approximately </w:t>
      </w:r>
      <w:r w:rsidRPr="0079282B">
        <w:rPr>
          <w:rFonts w:ascii="Segoe UI" w:eastAsia="Times New Roman" w:hAnsi="Segoe UI" w:cs="Segoe UI"/>
          <w:b/>
          <w:bCs/>
          <w:kern w:val="0"/>
          <w:sz w:val="21"/>
          <w:szCs w:val="21"/>
          <w14:ligatures w14:val="none"/>
        </w:rPr>
        <w:t>three months of average operating expenses</w:t>
      </w:r>
      <w:r w:rsidRPr="0079282B">
        <w:rPr>
          <w:rFonts w:ascii="Segoe UI" w:eastAsia="Times New Roman" w:hAnsi="Segoe UI" w:cs="Segoe UI"/>
          <w:kern w:val="0"/>
          <w:sz w:val="21"/>
          <w:szCs w:val="21"/>
          <w14:ligatures w14:val="none"/>
        </w:rPr>
        <w:t xml:space="preserve">, providing a strong liquidity position and financial flexibility. </w:t>
      </w:r>
    </w:p>
    <w:p w14:paraId="3C469582" w14:textId="5CE91B06" w:rsidR="0079282B" w:rsidRPr="0079282B" w:rsidRDefault="0079282B" w:rsidP="0079282B">
      <w:pPr>
        <w:spacing w:before="100" w:beforeAutospacing="1" w:after="100" w:afterAutospacing="1" w:line="300" w:lineRule="atLeast"/>
        <w:rPr>
          <w:rFonts w:ascii="Segoe UI" w:eastAsia="Times New Roman" w:hAnsi="Segoe UI" w:cs="Segoe UI"/>
          <w:kern w:val="0"/>
          <w:sz w:val="21"/>
          <w:szCs w:val="21"/>
          <w14:ligatures w14:val="none"/>
        </w:rPr>
      </w:pPr>
      <w:r w:rsidRPr="0079282B">
        <w:rPr>
          <w:rFonts w:ascii="Segoe UI" w:eastAsia="Times New Roman" w:hAnsi="Segoe UI" w:cs="Segoe UI"/>
          <w:kern w:val="0"/>
          <w:sz w:val="21"/>
          <w:szCs w:val="21"/>
          <w14:ligatures w14:val="none"/>
        </w:rPr>
        <w:t xml:space="preserve">Year-to-date income through August totaled approximately </w:t>
      </w:r>
      <w:r w:rsidRPr="0079282B">
        <w:rPr>
          <w:rFonts w:ascii="Segoe UI" w:eastAsia="Times New Roman" w:hAnsi="Segoe UI" w:cs="Segoe UI"/>
          <w:b/>
          <w:bCs/>
          <w:kern w:val="0"/>
          <w:sz w:val="21"/>
          <w:szCs w:val="21"/>
          <w14:ligatures w14:val="none"/>
        </w:rPr>
        <w:t>$216,400 actual</w:t>
      </w:r>
      <w:r w:rsidRPr="0079282B">
        <w:rPr>
          <w:rFonts w:ascii="Segoe UI" w:eastAsia="Times New Roman" w:hAnsi="Segoe UI" w:cs="Segoe UI"/>
          <w:kern w:val="0"/>
          <w:sz w:val="21"/>
          <w:szCs w:val="21"/>
          <w14:ligatures w14:val="none"/>
        </w:rPr>
        <w:t xml:space="preserve"> against a budget of approximately </w:t>
      </w:r>
      <w:r w:rsidRPr="0079282B">
        <w:rPr>
          <w:rFonts w:ascii="Segoe UI" w:eastAsia="Times New Roman" w:hAnsi="Segoe UI" w:cs="Segoe UI"/>
          <w:b/>
          <w:bCs/>
          <w:kern w:val="0"/>
          <w:sz w:val="21"/>
          <w:szCs w:val="21"/>
          <w14:ligatures w14:val="none"/>
        </w:rPr>
        <w:t>$229,365</w:t>
      </w:r>
      <w:r w:rsidRPr="0079282B">
        <w:rPr>
          <w:rFonts w:ascii="Segoe UI" w:eastAsia="Times New Roman" w:hAnsi="Segoe UI" w:cs="Segoe UI"/>
          <w:kern w:val="0"/>
          <w:sz w:val="21"/>
          <w:szCs w:val="21"/>
          <w14:ligatures w14:val="none"/>
        </w:rPr>
        <w:t xml:space="preserve">, resulting in an unfavorable variance of approximately </w:t>
      </w:r>
      <w:r w:rsidRPr="0079282B">
        <w:rPr>
          <w:rFonts w:ascii="Segoe UI" w:eastAsia="Times New Roman" w:hAnsi="Segoe UI" w:cs="Segoe UI"/>
          <w:b/>
          <w:bCs/>
          <w:kern w:val="0"/>
          <w:sz w:val="21"/>
          <w:szCs w:val="21"/>
          <w14:ligatures w14:val="none"/>
        </w:rPr>
        <w:t>$12,965</w:t>
      </w:r>
      <w:r w:rsidRPr="0079282B">
        <w:rPr>
          <w:rFonts w:ascii="Segoe UI" w:eastAsia="Times New Roman" w:hAnsi="Segoe UI" w:cs="Segoe UI"/>
          <w:kern w:val="0"/>
          <w:sz w:val="21"/>
          <w:szCs w:val="21"/>
          <w14:ligatures w14:val="none"/>
        </w:rPr>
        <w:t xml:space="preserve">. The largest income variance continues to be Reserve Interest Income, which shows approximately </w:t>
      </w:r>
      <w:r w:rsidRPr="0079282B">
        <w:rPr>
          <w:rFonts w:ascii="Segoe UI" w:eastAsia="Times New Roman" w:hAnsi="Segoe UI" w:cs="Segoe UI"/>
          <w:b/>
          <w:bCs/>
          <w:kern w:val="0"/>
          <w:sz w:val="21"/>
          <w:szCs w:val="21"/>
          <w14:ligatures w14:val="none"/>
        </w:rPr>
        <w:t>$2,897 actual</w:t>
      </w:r>
      <w:r w:rsidRPr="0079282B">
        <w:rPr>
          <w:rFonts w:ascii="Segoe UI" w:eastAsia="Times New Roman" w:hAnsi="Segoe UI" w:cs="Segoe UI"/>
          <w:kern w:val="0"/>
          <w:sz w:val="21"/>
          <w:szCs w:val="21"/>
          <w14:ligatures w14:val="none"/>
        </w:rPr>
        <w:t xml:space="preserve"> against a budget of approximately </w:t>
      </w:r>
      <w:r w:rsidRPr="0079282B">
        <w:rPr>
          <w:rFonts w:ascii="Segoe UI" w:eastAsia="Times New Roman" w:hAnsi="Segoe UI" w:cs="Segoe UI"/>
          <w:b/>
          <w:bCs/>
          <w:kern w:val="0"/>
          <w:sz w:val="21"/>
          <w:szCs w:val="21"/>
          <w14:ligatures w14:val="none"/>
        </w:rPr>
        <w:t>$14,553</w:t>
      </w:r>
      <w:r w:rsidRPr="0079282B">
        <w:rPr>
          <w:rFonts w:ascii="Segoe UI" w:eastAsia="Times New Roman" w:hAnsi="Segoe UI" w:cs="Segoe UI"/>
          <w:kern w:val="0"/>
          <w:sz w:val="21"/>
          <w:szCs w:val="21"/>
          <w14:ligatures w14:val="none"/>
        </w:rPr>
        <w:t xml:space="preserve">, creating an unfavorable variance of approximately </w:t>
      </w:r>
      <w:r w:rsidRPr="0079282B">
        <w:rPr>
          <w:rFonts w:ascii="Segoe UI" w:eastAsia="Times New Roman" w:hAnsi="Segoe UI" w:cs="Segoe UI"/>
          <w:b/>
          <w:bCs/>
          <w:kern w:val="0"/>
          <w:sz w:val="21"/>
          <w:szCs w:val="21"/>
          <w14:ligatures w14:val="none"/>
        </w:rPr>
        <w:t>$11,656</w:t>
      </w:r>
      <w:r w:rsidRPr="0079282B">
        <w:rPr>
          <w:rFonts w:ascii="Segoe UI" w:eastAsia="Times New Roman" w:hAnsi="Segoe UI" w:cs="Segoe UI"/>
          <w:kern w:val="0"/>
          <w:sz w:val="21"/>
          <w:szCs w:val="21"/>
          <w14:ligatures w14:val="none"/>
        </w:rPr>
        <w:t xml:space="preserve">. Based on current information, this variance appears primarily related to the timing of reserve investment interest recognition rather than an ongoing operating concern. </w:t>
      </w:r>
    </w:p>
    <w:p w14:paraId="7AE27E4E" w14:textId="75BEAF03" w:rsidR="0079282B" w:rsidRPr="0079282B" w:rsidRDefault="0079282B" w:rsidP="0079282B">
      <w:pPr>
        <w:spacing w:before="100" w:beforeAutospacing="1" w:after="100" w:afterAutospacing="1" w:line="300" w:lineRule="atLeast"/>
        <w:rPr>
          <w:rFonts w:ascii="Segoe UI" w:eastAsia="Times New Roman" w:hAnsi="Segoe UI" w:cs="Segoe UI"/>
          <w:kern w:val="0"/>
          <w:sz w:val="21"/>
          <w:szCs w:val="21"/>
          <w14:ligatures w14:val="none"/>
        </w:rPr>
      </w:pPr>
      <w:r w:rsidRPr="0079282B">
        <w:rPr>
          <w:rFonts w:ascii="Segoe UI" w:eastAsia="Times New Roman" w:hAnsi="Segoe UI" w:cs="Segoe UI"/>
          <w:kern w:val="0"/>
          <w:sz w:val="21"/>
          <w:szCs w:val="21"/>
          <w14:ligatures w14:val="none"/>
        </w:rPr>
        <w:t xml:space="preserve">Year-to-date expenses totaled approximately </w:t>
      </w:r>
      <w:r w:rsidRPr="0079282B">
        <w:rPr>
          <w:rFonts w:ascii="Segoe UI" w:eastAsia="Times New Roman" w:hAnsi="Segoe UI" w:cs="Segoe UI"/>
          <w:b/>
          <w:bCs/>
          <w:kern w:val="0"/>
          <w:sz w:val="21"/>
          <w:szCs w:val="21"/>
          <w14:ligatures w14:val="none"/>
        </w:rPr>
        <w:t>$211,639 actual</w:t>
      </w:r>
      <w:r w:rsidRPr="0079282B">
        <w:rPr>
          <w:rFonts w:ascii="Segoe UI" w:eastAsia="Times New Roman" w:hAnsi="Segoe UI" w:cs="Segoe UI"/>
          <w:kern w:val="0"/>
          <w:sz w:val="21"/>
          <w:szCs w:val="21"/>
          <w14:ligatures w14:val="none"/>
        </w:rPr>
        <w:t xml:space="preserve"> against a budget of approximately </w:t>
      </w:r>
      <w:r w:rsidRPr="0079282B">
        <w:rPr>
          <w:rFonts w:ascii="Segoe UI" w:eastAsia="Times New Roman" w:hAnsi="Segoe UI" w:cs="Segoe UI"/>
          <w:b/>
          <w:bCs/>
          <w:kern w:val="0"/>
          <w:sz w:val="21"/>
          <w:szCs w:val="21"/>
          <w14:ligatures w14:val="none"/>
        </w:rPr>
        <w:t>$229,365</w:t>
      </w:r>
      <w:r w:rsidRPr="0079282B">
        <w:rPr>
          <w:rFonts w:ascii="Segoe UI" w:eastAsia="Times New Roman" w:hAnsi="Segoe UI" w:cs="Segoe UI"/>
          <w:kern w:val="0"/>
          <w:sz w:val="21"/>
          <w:szCs w:val="21"/>
          <w14:ligatures w14:val="none"/>
        </w:rPr>
        <w:t xml:space="preserve">, resulting in a favorable variance of approximately </w:t>
      </w:r>
      <w:r w:rsidRPr="0079282B">
        <w:rPr>
          <w:rFonts w:ascii="Segoe UI" w:eastAsia="Times New Roman" w:hAnsi="Segoe UI" w:cs="Segoe UI"/>
          <w:b/>
          <w:bCs/>
          <w:kern w:val="0"/>
          <w:sz w:val="21"/>
          <w:szCs w:val="21"/>
          <w14:ligatures w14:val="none"/>
        </w:rPr>
        <w:t>$17,727</w:t>
      </w:r>
      <w:r w:rsidRPr="0079282B">
        <w:rPr>
          <w:rFonts w:ascii="Segoe UI" w:eastAsia="Times New Roman" w:hAnsi="Segoe UI" w:cs="Segoe UI"/>
          <w:kern w:val="0"/>
          <w:sz w:val="21"/>
          <w:szCs w:val="21"/>
          <w14:ligatures w14:val="none"/>
        </w:rPr>
        <w:t xml:space="preserve">. Favorable expense performance, particularly in Grounds, Repairs and Maintenance, and Utilities, more than offsets the unfavorable income variance, resulting in year-to-date net income of approximately </w:t>
      </w:r>
      <w:r w:rsidRPr="0079282B">
        <w:rPr>
          <w:rFonts w:ascii="Segoe UI" w:eastAsia="Times New Roman" w:hAnsi="Segoe UI" w:cs="Segoe UI"/>
          <w:b/>
          <w:bCs/>
          <w:kern w:val="0"/>
          <w:sz w:val="21"/>
          <w:szCs w:val="21"/>
          <w14:ligatures w14:val="none"/>
        </w:rPr>
        <w:t>$4,761</w:t>
      </w:r>
      <w:r w:rsidRPr="0079282B">
        <w:rPr>
          <w:rFonts w:ascii="Segoe UI" w:eastAsia="Times New Roman" w:hAnsi="Segoe UI" w:cs="Segoe UI"/>
          <w:kern w:val="0"/>
          <w:sz w:val="21"/>
          <w:szCs w:val="21"/>
          <w14:ligatures w14:val="none"/>
        </w:rPr>
        <w:t xml:space="preserve">. </w:t>
      </w:r>
    </w:p>
    <w:p w14:paraId="5E146D9F" w14:textId="2F4CED44" w:rsidR="0079282B" w:rsidRPr="0079282B" w:rsidRDefault="0079282B" w:rsidP="0079282B">
      <w:pPr>
        <w:spacing w:before="100" w:beforeAutospacing="1" w:after="100" w:afterAutospacing="1" w:line="300" w:lineRule="atLeast"/>
        <w:rPr>
          <w:rFonts w:ascii="Segoe UI" w:eastAsia="Times New Roman" w:hAnsi="Segoe UI" w:cs="Segoe UI"/>
          <w:kern w:val="0"/>
          <w:sz w:val="21"/>
          <w:szCs w:val="21"/>
          <w14:ligatures w14:val="none"/>
        </w:rPr>
      </w:pPr>
      <w:r w:rsidRPr="0079282B">
        <w:rPr>
          <w:rFonts w:ascii="Segoe UI" w:eastAsia="Times New Roman" w:hAnsi="Segoe UI" w:cs="Segoe UI"/>
          <w:kern w:val="0"/>
          <w:sz w:val="21"/>
          <w:szCs w:val="21"/>
          <w14:ligatures w14:val="none"/>
        </w:rPr>
        <w:t xml:space="preserve">The Board is also monitoring owner assessment delinquencies. Accounts Receivable totaled approximately </w:t>
      </w:r>
      <w:r w:rsidRPr="0079282B">
        <w:rPr>
          <w:rFonts w:ascii="Segoe UI" w:eastAsia="Times New Roman" w:hAnsi="Segoe UI" w:cs="Segoe UI"/>
          <w:b/>
          <w:bCs/>
          <w:kern w:val="0"/>
          <w:sz w:val="21"/>
          <w:szCs w:val="21"/>
          <w14:ligatures w14:val="none"/>
        </w:rPr>
        <w:t>$21,899</w:t>
      </w:r>
      <w:r w:rsidRPr="0079282B">
        <w:rPr>
          <w:rFonts w:ascii="Segoe UI" w:eastAsia="Times New Roman" w:hAnsi="Segoe UI" w:cs="Segoe UI"/>
          <w:kern w:val="0"/>
          <w:sz w:val="21"/>
          <w:szCs w:val="21"/>
          <w14:ligatures w14:val="none"/>
        </w:rPr>
        <w:t xml:space="preserve"> as of August 31, 2026. Although </w:t>
      </w:r>
      <w:proofErr w:type="gramStart"/>
      <w:r w:rsidRPr="0079282B">
        <w:rPr>
          <w:rFonts w:ascii="Segoe UI" w:eastAsia="Times New Roman" w:hAnsi="Segoe UI" w:cs="Segoe UI"/>
          <w:kern w:val="0"/>
          <w:sz w:val="21"/>
          <w:szCs w:val="21"/>
          <w14:ligatures w14:val="none"/>
        </w:rPr>
        <w:t>maintenance-fee</w:t>
      </w:r>
      <w:proofErr w:type="gramEnd"/>
      <w:r w:rsidRPr="0079282B">
        <w:rPr>
          <w:rFonts w:ascii="Segoe UI" w:eastAsia="Times New Roman" w:hAnsi="Segoe UI" w:cs="Segoe UI"/>
          <w:kern w:val="0"/>
          <w:sz w:val="21"/>
          <w:szCs w:val="21"/>
          <w14:ligatures w14:val="none"/>
        </w:rPr>
        <w:t xml:space="preserve"> revenue is only approximately </w:t>
      </w:r>
      <w:r w:rsidRPr="0079282B">
        <w:rPr>
          <w:rFonts w:ascii="Segoe UI" w:eastAsia="Times New Roman" w:hAnsi="Segoe UI" w:cs="Segoe UI"/>
          <w:b/>
          <w:bCs/>
          <w:kern w:val="0"/>
          <w:sz w:val="21"/>
          <w:szCs w:val="21"/>
          <w14:ligatures w14:val="none"/>
        </w:rPr>
        <w:t>$2,389 below budget year-to-date</w:t>
      </w:r>
      <w:r w:rsidRPr="0079282B">
        <w:rPr>
          <w:rFonts w:ascii="Segoe UI" w:eastAsia="Times New Roman" w:hAnsi="Segoe UI" w:cs="Segoe UI"/>
          <w:kern w:val="0"/>
          <w:sz w:val="21"/>
          <w:szCs w:val="21"/>
          <w14:ligatures w14:val="none"/>
        </w:rPr>
        <w:t xml:space="preserve">, Accounts Receivable represents the cumulative </w:t>
      </w:r>
      <w:r w:rsidRPr="0079282B">
        <w:rPr>
          <w:rFonts w:ascii="Segoe UI" w:eastAsia="Times New Roman" w:hAnsi="Segoe UI" w:cs="Segoe UI"/>
          <w:kern w:val="0"/>
          <w:sz w:val="21"/>
          <w:szCs w:val="21"/>
          <w14:ligatures w14:val="none"/>
        </w:rPr>
        <w:lastRenderedPageBreak/>
        <w:t xml:space="preserve">amount owed by homeowners, including balances that may have accumulated over multiple billing periods and prior years. More than half of the receivable balance is over 90 days past due. While the Association's overall financial position remains stable, continued collection efforts and monitoring of delinquent accounts remain important priorities. </w:t>
      </w:r>
    </w:p>
    <w:p w14:paraId="50BE4D32" w14:textId="77777777" w:rsidR="0079282B" w:rsidRPr="0079282B" w:rsidRDefault="0079282B" w:rsidP="0079282B">
      <w:pPr>
        <w:spacing w:before="100" w:beforeAutospacing="1" w:after="100" w:afterAutospacing="1" w:line="300" w:lineRule="atLeast"/>
        <w:rPr>
          <w:rFonts w:ascii="Segoe UI" w:eastAsia="Times New Roman" w:hAnsi="Segoe UI" w:cs="Segoe UI"/>
          <w:kern w:val="0"/>
          <w:sz w:val="21"/>
          <w:szCs w:val="21"/>
          <w14:ligatures w14:val="none"/>
        </w:rPr>
      </w:pPr>
      <w:r w:rsidRPr="0079282B">
        <w:rPr>
          <w:rFonts w:ascii="Segoe UI" w:eastAsia="Times New Roman" w:hAnsi="Segoe UI" w:cs="Segoe UI"/>
          <w:kern w:val="0"/>
          <w:sz w:val="21"/>
          <w:szCs w:val="21"/>
          <w14:ligatures w14:val="none"/>
        </w:rPr>
        <w:t xml:space="preserve">Overall, the Association remains financially sound, reserves remain well funded at approximately </w:t>
      </w:r>
      <w:r w:rsidRPr="0079282B">
        <w:rPr>
          <w:rFonts w:ascii="Segoe UI" w:eastAsia="Times New Roman" w:hAnsi="Segoe UI" w:cs="Segoe UI"/>
          <w:b/>
          <w:bCs/>
          <w:kern w:val="0"/>
          <w:sz w:val="21"/>
          <w:szCs w:val="21"/>
          <w14:ligatures w14:val="none"/>
        </w:rPr>
        <w:t>$367,463</w:t>
      </w:r>
      <w:r w:rsidRPr="0079282B">
        <w:rPr>
          <w:rFonts w:ascii="Segoe UI" w:eastAsia="Times New Roman" w:hAnsi="Segoe UI" w:cs="Segoe UI"/>
          <w:kern w:val="0"/>
          <w:sz w:val="21"/>
          <w:szCs w:val="21"/>
          <w14:ligatures w14:val="none"/>
        </w:rPr>
        <w:t>, and operating results continue to be favorable through August 2026 despite the reserve-interest timing variance and outstanding receivable balances.</w:t>
      </w:r>
    </w:p>
    <w:p w14:paraId="422E6639" w14:textId="77777777" w:rsidR="007D37CC" w:rsidRPr="007D37CC" w:rsidRDefault="007D37CC" w:rsidP="007D37CC">
      <w:pPr>
        <w:spacing w:before="60" w:after="60" w:line="360" w:lineRule="auto"/>
        <w:rPr>
          <w:rFonts w:ascii="Arial" w:eastAsia="Arial" w:hAnsi="Arial" w:cs="Arial"/>
        </w:rPr>
      </w:pPr>
      <w:r w:rsidRPr="007D37CC">
        <w:rPr>
          <w:rFonts w:ascii="Calibri" w:eastAsia="Arial" w:hAnsi="Calibri" w:cs="Calibri"/>
          <w:color w:val="555555"/>
          <w:spacing w:val="16"/>
          <w:kern w:val="0"/>
          <w:sz w:val="18"/>
          <w:szCs w:val="18"/>
          <w14:ligatures w14:val="none"/>
        </w:rPr>
        <w:t>SECTION 2</w:t>
      </w:r>
    </w:p>
    <w:p w14:paraId="091478EB" w14:textId="6DED8D5E" w:rsidR="007D37CC" w:rsidRPr="007D37CC" w:rsidRDefault="007D37CC" w:rsidP="007D37CC">
      <w:pPr>
        <w:spacing w:before="440" w:after="120" w:line="312" w:lineRule="auto"/>
        <w:outlineLvl w:val="0"/>
        <w:rPr>
          <w:rFonts w:ascii="Arial" w:eastAsia="Arial" w:hAnsi="Arial" w:cs="Arial"/>
          <w:b/>
          <w:bCs/>
          <w:color w:val="000000"/>
          <w:kern w:val="36"/>
          <w:sz w:val="48"/>
          <w:szCs w:val="48"/>
        </w:rPr>
      </w:pPr>
      <w:r w:rsidRPr="007D37CC">
        <w:rPr>
          <w:rFonts w:ascii="Calibri" w:eastAsia="Arial" w:hAnsi="Calibri" w:cs="Calibri"/>
          <w:b/>
          <w:bCs/>
          <w:color w:val="1A3A5C"/>
          <w:kern w:val="0"/>
          <w:sz w:val="40"/>
          <w:szCs w:val="40"/>
          <w14:ligatures w14:val="none"/>
        </w:rPr>
        <w:t>Operating Budget Analysis</w:t>
      </w:r>
    </w:p>
    <w:p w14:paraId="6D8A19FF" w14:textId="77777777" w:rsidR="00994C27" w:rsidRPr="007D37CC" w:rsidRDefault="00040C55">
      <w:pPr>
        <w:spacing w:before="320" w:after="80" w:line="312" w:lineRule="auto"/>
      </w:pPr>
      <w:r w:rsidRPr="007D37CC">
        <w:rPr>
          <w:rFonts w:ascii="Calibri" w:eastAsia="Arial" w:hAnsi="Calibri" w:cs="Calibri"/>
          <w:b/>
          <w:bCs/>
          <w:color w:val="1A3A5C"/>
          <w:kern w:val="0"/>
          <w:sz w:val="28"/>
          <w:szCs w:val="28"/>
          <w14:ligatures w14:val="none"/>
        </w:rPr>
        <w:t xml:space="preserve">Year-to-Date Through </w:t>
      </w:r>
      <w:r w:rsidR="00277015">
        <w:rPr>
          <w:rFonts w:ascii="Calibri" w:hAnsi="Calibri" w:cs="Calibri"/>
          <w:b/>
          <w:bCs/>
          <w:color w:val="1A3A5C"/>
          <w:sz w:val="28"/>
          <w:szCs w:val="28"/>
        </w:rPr>
        <w:t>August</w:t>
      </w:r>
      <w:r w:rsidRPr="007D37CC">
        <w:rPr>
          <w:rFonts w:ascii="Calibri" w:eastAsia="Arial" w:hAnsi="Calibri" w:cs="Calibri"/>
          <w:b/>
          <w:bCs/>
          <w:color w:val="1A3A5C"/>
          <w:kern w:val="0"/>
          <w:sz w:val="28"/>
          <w:szCs w:val="28"/>
          <w14:ligatures w14:val="none"/>
        </w:rPr>
        <w:t xml:space="preserve"> 31, 2026</w:t>
      </w:r>
    </w:p>
    <w:tbl>
      <w:tblPr>
        <w:tblW w:w="5000" w:type="pct"/>
        <w:tblBorders>
          <w:top w:val="single" w:sz="4" w:space="0" w:color="E5E7EB"/>
          <w:left w:val="single" w:sz="4" w:space="0" w:color="E5E7EB"/>
          <w:bottom w:val="single" w:sz="4" w:space="0" w:color="E5E7EB"/>
          <w:right w:val="single" w:sz="4" w:space="0" w:color="E5E7EB"/>
        </w:tblBorders>
        <w:tblCellMar>
          <w:left w:w="0" w:type="dxa"/>
          <w:right w:w="0" w:type="dxa"/>
        </w:tblCellMar>
        <w:tblLook w:val="04A0" w:firstRow="1" w:lastRow="0" w:firstColumn="1" w:lastColumn="0" w:noHBand="0" w:noVBand="1"/>
      </w:tblPr>
      <w:tblGrid>
        <w:gridCol w:w="3363"/>
        <w:gridCol w:w="1401"/>
        <w:gridCol w:w="1402"/>
        <w:gridCol w:w="1775"/>
        <w:gridCol w:w="1403"/>
      </w:tblGrid>
      <w:tr w:rsidR="007D37CC" w:rsidRPr="007D37CC" w14:paraId="136CE018" w14:textId="77777777" w:rsidTr="008148EE">
        <w:trPr>
          <w:tblHeader/>
        </w:trPr>
        <w:tc>
          <w:tcPr>
            <w:tcW w:w="1800" w:type="pct"/>
            <w:tcBorders>
              <w:top w:val="outset" w:sz="6" w:space="0" w:color="auto"/>
              <w:left w:val="outset" w:sz="6" w:space="0" w:color="auto"/>
              <w:bottom w:val="outset" w:sz="6" w:space="0" w:color="auto"/>
              <w:right w:val="outset" w:sz="6" w:space="0" w:color="auto"/>
            </w:tcBorders>
            <w:shd w:val="clear" w:color="auto" w:fill="1A3A5C"/>
            <w:tcMar>
              <w:top w:w="90" w:type="dxa"/>
              <w:left w:w="135" w:type="dxa"/>
              <w:bottom w:w="90" w:type="dxa"/>
              <w:right w:w="135" w:type="dxa"/>
            </w:tcMar>
            <w:hideMark/>
          </w:tcPr>
          <w:p w14:paraId="5F490180" w14:textId="77777777" w:rsidR="007D37CC" w:rsidRPr="007D37CC" w:rsidRDefault="007D37CC" w:rsidP="007D37CC">
            <w:pPr>
              <w:spacing w:after="0" w:line="240" w:lineRule="auto"/>
              <w:rPr>
                <w:rFonts w:ascii="Arial" w:eastAsia="Arial" w:hAnsi="Arial" w:cs="Arial"/>
              </w:rPr>
            </w:pPr>
            <w:r w:rsidRPr="007D37CC">
              <w:rPr>
                <w:rFonts w:ascii="Calibri" w:eastAsia="Arial" w:hAnsi="Calibri" w:cs="Calibri"/>
                <w:b/>
                <w:bCs/>
                <w:color w:val="FFFFFF"/>
                <w:kern w:val="0"/>
                <w:sz w:val="22"/>
                <w:szCs w:val="22"/>
                <w14:ligatures w14:val="none"/>
              </w:rPr>
              <w:t>Category</w:t>
            </w:r>
          </w:p>
        </w:tc>
        <w:tc>
          <w:tcPr>
            <w:tcW w:w="750" w:type="pct"/>
            <w:tcBorders>
              <w:top w:val="outset" w:sz="6" w:space="0" w:color="auto"/>
              <w:left w:val="outset" w:sz="6" w:space="0" w:color="auto"/>
              <w:bottom w:val="outset" w:sz="6" w:space="0" w:color="auto"/>
              <w:right w:val="outset" w:sz="6" w:space="0" w:color="auto"/>
            </w:tcBorders>
            <w:shd w:val="clear" w:color="auto" w:fill="1A3A5C"/>
            <w:tcMar>
              <w:top w:w="90" w:type="dxa"/>
              <w:left w:w="135" w:type="dxa"/>
              <w:bottom w:w="90" w:type="dxa"/>
              <w:right w:w="135" w:type="dxa"/>
            </w:tcMar>
            <w:hideMark/>
          </w:tcPr>
          <w:p w14:paraId="0ECB79B9" w14:textId="77777777" w:rsidR="007D37CC" w:rsidRPr="007D37CC" w:rsidRDefault="007D37CC" w:rsidP="007D37CC">
            <w:pPr>
              <w:spacing w:after="0" w:line="240" w:lineRule="auto"/>
              <w:rPr>
                <w:rFonts w:ascii="Arial" w:eastAsia="Arial" w:hAnsi="Arial" w:cs="Arial"/>
                <w:kern w:val="0"/>
                <w14:ligatures w14:val="none"/>
              </w:rPr>
            </w:pPr>
            <w:r w:rsidRPr="007D37CC">
              <w:rPr>
                <w:rFonts w:ascii="Calibri" w:eastAsia="Arial" w:hAnsi="Calibri" w:cs="Calibri"/>
                <w:b/>
                <w:bCs/>
                <w:color w:val="FFFFFF"/>
                <w:kern w:val="0"/>
                <w:sz w:val="22"/>
                <w:szCs w:val="22"/>
                <w14:ligatures w14:val="none"/>
              </w:rPr>
              <w:t>YTD Actual</w:t>
            </w:r>
          </w:p>
        </w:tc>
        <w:tc>
          <w:tcPr>
            <w:tcW w:w="750" w:type="pct"/>
            <w:tcBorders>
              <w:top w:val="outset" w:sz="6" w:space="0" w:color="auto"/>
              <w:left w:val="outset" w:sz="6" w:space="0" w:color="auto"/>
              <w:bottom w:val="outset" w:sz="6" w:space="0" w:color="auto"/>
              <w:right w:val="outset" w:sz="6" w:space="0" w:color="auto"/>
            </w:tcBorders>
            <w:shd w:val="clear" w:color="auto" w:fill="1A3A5C"/>
            <w:tcMar>
              <w:top w:w="90" w:type="dxa"/>
              <w:left w:w="135" w:type="dxa"/>
              <w:bottom w:w="90" w:type="dxa"/>
              <w:right w:w="135" w:type="dxa"/>
            </w:tcMar>
            <w:hideMark/>
          </w:tcPr>
          <w:p w14:paraId="2F09691A" w14:textId="77777777" w:rsidR="007D37CC" w:rsidRPr="007D37CC" w:rsidRDefault="007D37CC" w:rsidP="007D37CC">
            <w:pPr>
              <w:spacing w:after="0" w:line="240" w:lineRule="auto"/>
              <w:rPr>
                <w:rFonts w:ascii="Arial" w:eastAsia="Arial" w:hAnsi="Arial" w:cs="Arial"/>
                <w:kern w:val="0"/>
                <w14:ligatures w14:val="none"/>
              </w:rPr>
            </w:pPr>
            <w:r w:rsidRPr="007D37CC">
              <w:rPr>
                <w:rFonts w:ascii="Calibri" w:eastAsia="Arial" w:hAnsi="Calibri" w:cs="Calibri"/>
                <w:b/>
                <w:bCs/>
                <w:color w:val="FFFFFF"/>
                <w:kern w:val="0"/>
                <w:sz w:val="22"/>
                <w:szCs w:val="22"/>
                <w14:ligatures w14:val="none"/>
              </w:rPr>
              <w:t>YTD Budget</w:t>
            </w:r>
          </w:p>
        </w:tc>
        <w:tc>
          <w:tcPr>
            <w:tcW w:w="950" w:type="pct"/>
            <w:tcBorders>
              <w:top w:val="outset" w:sz="6" w:space="0" w:color="auto"/>
              <w:left w:val="outset" w:sz="6" w:space="0" w:color="auto"/>
              <w:bottom w:val="outset" w:sz="6" w:space="0" w:color="auto"/>
              <w:right w:val="outset" w:sz="6" w:space="0" w:color="auto"/>
            </w:tcBorders>
            <w:shd w:val="clear" w:color="auto" w:fill="1A3A5C"/>
            <w:tcMar>
              <w:top w:w="90" w:type="dxa"/>
              <w:left w:w="135" w:type="dxa"/>
              <w:bottom w:w="90" w:type="dxa"/>
              <w:right w:w="135" w:type="dxa"/>
            </w:tcMar>
            <w:hideMark/>
          </w:tcPr>
          <w:p w14:paraId="1711DB72" w14:textId="77777777" w:rsidR="007D37CC" w:rsidRPr="007D37CC" w:rsidRDefault="007D37CC" w:rsidP="007D37CC">
            <w:pPr>
              <w:spacing w:after="0" w:line="240" w:lineRule="auto"/>
              <w:rPr>
                <w:rFonts w:ascii="Arial" w:eastAsia="Arial" w:hAnsi="Arial" w:cs="Arial"/>
                <w:kern w:val="0"/>
                <w14:ligatures w14:val="none"/>
              </w:rPr>
            </w:pPr>
            <w:r w:rsidRPr="007D37CC">
              <w:rPr>
                <w:rFonts w:ascii="Calibri" w:eastAsia="Arial" w:hAnsi="Calibri" w:cs="Calibri"/>
                <w:b/>
                <w:bCs/>
                <w:color w:val="FFFFFF"/>
                <w:kern w:val="0"/>
                <w:sz w:val="22"/>
                <w:szCs w:val="22"/>
                <w14:ligatures w14:val="none"/>
              </w:rPr>
              <w:t>Variance</w:t>
            </w:r>
          </w:p>
        </w:tc>
        <w:tc>
          <w:tcPr>
            <w:tcW w:w="750" w:type="pct"/>
            <w:tcBorders>
              <w:top w:val="outset" w:sz="6" w:space="0" w:color="auto"/>
              <w:left w:val="outset" w:sz="6" w:space="0" w:color="auto"/>
              <w:bottom w:val="outset" w:sz="6" w:space="0" w:color="auto"/>
              <w:right w:val="outset" w:sz="6" w:space="0" w:color="auto"/>
            </w:tcBorders>
            <w:shd w:val="clear" w:color="auto" w:fill="1A3A5C"/>
            <w:tcMar>
              <w:top w:w="90" w:type="dxa"/>
              <w:left w:w="135" w:type="dxa"/>
              <w:bottom w:w="90" w:type="dxa"/>
              <w:right w:w="135" w:type="dxa"/>
            </w:tcMar>
            <w:hideMark/>
          </w:tcPr>
          <w:p w14:paraId="231C6574" w14:textId="77777777" w:rsidR="007D37CC" w:rsidRPr="007D37CC" w:rsidRDefault="007D37CC" w:rsidP="007D37CC">
            <w:pPr>
              <w:spacing w:after="0" w:line="240" w:lineRule="auto"/>
              <w:rPr>
                <w:rFonts w:ascii="Arial" w:eastAsia="Arial" w:hAnsi="Arial" w:cs="Arial"/>
                <w:kern w:val="0"/>
                <w14:ligatures w14:val="none"/>
              </w:rPr>
            </w:pPr>
            <w:r w:rsidRPr="007D37CC">
              <w:rPr>
                <w:rFonts w:ascii="Calibri" w:eastAsia="Arial" w:hAnsi="Calibri" w:cs="Calibri"/>
                <w:b/>
                <w:bCs/>
                <w:color w:val="FFFFFF"/>
                <w:kern w:val="0"/>
                <w:sz w:val="22"/>
                <w:szCs w:val="22"/>
                <w14:ligatures w14:val="none"/>
              </w:rPr>
              <w:t>Status</w:t>
            </w:r>
          </w:p>
        </w:tc>
      </w:tr>
      <w:tr w:rsidR="007D37CC" w:rsidRPr="007D37CC" w14:paraId="2045C7C2" w14:textId="77777777" w:rsidTr="008148EE">
        <w:tc>
          <w:tcPr>
            <w:tcW w:w="0" w:type="auto"/>
            <w:gridSpan w:val="5"/>
            <w:tcBorders>
              <w:top w:val="outset" w:sz="6" w:space="0" w:color="auto"/>
              <w:left w:val="outset" w:sz="6" w:space="0" w:color="auto"/>
              <w:bottom w:val="outset" w:sz="6" w:space="0" w:color="auto"/>
              <w:right w:val="outset" w:sz="6" w:space="0" w:color="auto"/>
            </w:tcBorders>
            <w:shd w:val="clear" w:color="auto" w:fill="E8EEF7"/>
            <w:tcMar>
              <w:top w:w="90" w:type="dxa"/>
              <w:left w:w="135" w:type="dxa"/>
              <w:bottom w:w="90" w:type="dxa"/>
              <w:right w:w="135" w:type="dxa"/>
            </w:tcMar>
            <w:hideMark/>
          </w:tcPr>
          <w:p w14:paraId="52DDC119" w14:textId="77777777" w:rsidR="007D37CC" w:rsidRPr="007D37CC" w:rsidRDefault="007D37CC" w:rsidP="007D37CC">
            <w:pPr>
              <w:spacing w:after="0" w:line="240" w:lineRule="auto"/>
              <w:rPr>
                <w:rFonts w:ascii="Arial" w:eastAsia="Arial" w:hAnsi="Arial" w:cs="Arial"/>
                <w:kern w:val="0"/>
                <w14:ligatures w14:val="none"/>
              </w:rPr>
            </w:pPr>
            <w:r w:rsidRPr="007D37CC">
              <w:rPr>
                <w:rFonts w:ascii="Calibri" w:eastAsia="Arial" w:hAnsi="Calibri" w:cs="Calibri"/>
                <w:b/>
                <w:bCs/>
                <w:i/>
                <w:iCs/>
                <w:color w:val="1A3A5C"/>
                <w:kern w:val="0"/>
                <w:sz w:val="22"/>
                <w:szCs w:val="22"/>
                <w14:ligatures w14:val="none"/>
              </w:rPr>
              <w:t>OPERATING INCOME</w:t>
            </w:r>
          </w:p>
        </w:tc>
      </w:tr>
      <w:tr w:rsidR="007D37CC" w:rsidRPr="007D37CC" w14:paraId="79115915" w14:textId="77777777" w:rsidTr="008148EE">
        <w:tc>
          <w:tcPr>
            <w:tcW w:w="0" w:type="auto"/>
            <w:tcBorders>
              <w:top w:val="outset" w:sz="6" w:space="0" w:color="auto"/>
              <w:left w:val="outset" w:sz="6" w:space="0" w:color="auto"/>
              <w:bottom w:val="outset" w:sz="6" w:space="0" w:color="auto"/>
              <w:right w:val="outset" w:sz="6" w:space="0" w:color="auto"/>
            </w:tcBorders>
            <w:vAlign w:val="center"/>
            <w:hideMark/>
          </w:tcPr>
          <w:p w14:paraId="300D11A1"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kern w:val="0"/>
                <w14:ligatures w14:val="none"/>
              </w:rPr>
              <w:t>Maintenance Fees</w:t>
            </w:r>
          </w:p>
        </w:tc>
        <w:tc>
          <w:tcPr>
            <w:tcW w:w="0" w:type="auto"/>
            <w:tcBorders>
              <w:top w:val="outset" w:sz="6" w:space="0" w:color="auto"/>
              <w:left w:val="outset" w:sz="6" w:space="0" w:color="auto"/>
              <w:bottom w:val="outset" w:sz="6" w:space="0" w:color="auto"/>
              <w:right w:val="outset" w:sz="6" w:space="0" w:color="auto"/>
            </w:tcBorders>
            <w:vAlign w:val="center"/>
            <w:hideMark/>
          </w:tcPr>
          <w:p w14:paraId="006A1127" w14:textId="05133C3B" w:rsidR="007D37CC" w:rsidRPr="007D37CC" w:rsidRDefault="000E3C21" w:rsidP="000E3C21">
            <w:pPr>
              <w:spacing w:after="0"/>
              <w:rPr>
                <w:rFonts w:ascii="Arial" w:eastAsia="Arial" w:hAnsi="Arial" w:cs="Arial"/>
                <w:kern w:val="0"/>
                <w14:ligatures w14:val="none"/>
              </w:rPr>
            </w:pPr>
            <w:r>
              <w:rPr>
                <w:rFonts w:ascii="Arial" w:hAnsi="Arial" w:cs="Arial"/>
              </w:rPr>
              <w:t>$195,112.68</w:t>
            </w:r>
          </w:p>
        </w:tc>
        <w:tc>
          <w:tcPr>
            <w:tcW w:w="0" w:type="auto"/>
            <w:tcBorders>
              <w:top w:val="outset" w:sz="6" w:space="0" w:color="auto"/>
              <w:left w:val="outset" w:sz="6" w:space="0" w:color="auto"/>
              <w:bottom w:val="outset" w:sz="6" w:space="0" w:color="auto"/>
              <w:right w:val="outset" w:sz="6" w:space="0" w:color="auto"/>
            </w:tcBorders>
            <w:vAlign w:val="center"/>
            <w:hideMark/>
          </w:tcPr>
          <w:p w14:paraId="0020B979" w14:textId="3AD86B3F" w:rsidR="007D37CC" w:rsidRPr="007D37CC" w:rsidRDefault="000C4604" w:rsidP="000C4604">
            <w:pPr>
              <w:spacing w:after="0"/>
              <w:rPr>
                <w:rFonts w:ascii="Arial" w:eastAsia="Arial" w:hAnsi="Arial" w:cs="Arial"/>
                <w:kern w:val="0"/>
                <w14:ligatures w14:val="none"/>
              </w:rPr>
            </w:pPr>
            <w:r>
              <w:rPr>
                <w:rFonts w:ascii="Arial" w:hAnsi="Arial" w:cs="Arial"/>
              </w:rPr>
              <w:t>$197,501.36</w:t>
            </w:r>
          </w:p>
        </w:tc>
        <w:tc>
          <w:tcPr>
            <w:tcW w:w="0" w:type="auto"/>
            <w:tcBorders>
              <w:top w:val="outset" w:sz="6" w:space="0" w:color="auto"/>
              <w:left w:val="outset" w:sz="6" w:space="0" w:color="auto"/>
              <w:bottom w:val="outset" w:sz="6" w:space="0" w:color="auto"/>
              <w:right w:val="outset" w:sz="6" w:space="0" w:color="auto"/>
            </w:tcBorders>
            <w:vAlign w:val="center"/>
            <w:hideMark/>
          </w:tcPr>
          <w:p w14:paraId="02780232" w14:textId="2201E171" w:rsidR="007D37CC" w:rsidRPr="007D37CC" w:rsidRDefault="00040C55" w:rsidP="00A53064">
            <w:pPr>
              <w:spacing w:after="0"/>
              <w:rPr>
                <w:rFonts w:ascii="Arial" w:eastAsia="Arial" w:hAnsi="Arial" w:cs="Arial"/>
                <w:kern w:val="0"/>
                <w14:ligatures w14:val="none"/>
              </w:rPr>
            </w:pPr>
            <w:r w:rsidRPr="007D37CC">
              <w:rPr>
                <w:rFonts w:ascii="Arial" w:eastAsia="Arial" w:hAnsi="Arial" w:cs="Arial"/>
                <w:b/>
                <w:bCs/>
                <w:color w:val="8B1A1A"/>
                <w:kern w:val="0"/>
                <w14:ligatures w14:val="none"/>
              </w:rPr>
              <w:t>$(2,</w:t>
            </w:r>
            <w:r w:rsidR="00A53064">
              <w:rPr>
                <w:rFonts w:ascii="Arial" w:hAnsi="Arial" w:cs="Arial"/>
                <w:b/>
                <w:bCs/>
                <w:color w:val="8B1A1A"/>
              </w:rPr>
              <w:t>388.68</w:t>
            </w:r>
            <w:r w:rsidRPr="007D37CC">
              <w:rPr>
                <w:rFonts w:ascii="Arial" w:eastAsia="Arial" w:hAnsi="Arial" w:cs="Arial"/>
                <w:b/>
                <w:bCs/>
                <w:color w:val="8B1A1A"/>
                <w:kern w:val="0"/>
                <w14:ligatures w14:val="none"/>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0F8EFB8"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b/>
                <w:bCs/>
                <w:color w:val="8B1A1A"/>
                <w:kern w:val="0"/>
                <w14:ligatures w14:val="none"/>
              </w:rPr>
              <w:t>Below Budget</w:t>
            </w:r>
          </w:p>
        </w:tc>
      </w:tr>
      <w:tr w:rsidR="007D37CC" w:rsidRPr="007D37CC" w14:paraId="0F46BC12" w14:textId="77777777" w:rsidTr="008148EE">
        <w:tc>
          <w:tcPr>
            <w:tcW w:w="0" w:type="auto"/>
            <w:tcBorders>
              <w:top w:val="outset" w:sz="6" w:space="0" w:color="auto"/>
              <w:left w:val="outset" w:sz="6" w:space="0" w:color="auto"/>
              <w:bottom w:val="outset" w:sz="6" w:space="0" w:color="auto"/>
              <w:right w:val="outset" w:sz="6" w:space="0" w:color="auto"/>
            </w:tcBorders>
            <w:vAlign w:val="center"/>
            <w:hideMark/>
          </w:tcPr>
          <w:p w14:paraId="29936268" w14:textId="77777777" w:rsidR="007D37CC" w:rsidRPr="007D37CC" w:rsidRDefault="007D37CC" w:rsidP="007D37CC">
            <w:pPr>
              <w:spacing w:after="0" w:line="240" w:lineRule="auto"/>
              <w:rPr>
                <w:rFonts w:ascii="Arial" w:eastAsia="Arial" w:hAnsi="Arial" w:cs="Arial"/>
                <w:kern w:val="0"/>
                <w14:ligatures w14:val="none"/>
              </w:rPr>
            </w:pPr>
            <w:proofErr w:type="gramStart"/>
            <w:r w:rsidRPr="007D37CC">
              <w:rPr>
                <w:rFonts w:ascii="Arial" w:eastAsia="Arial" w:hAnsi="Arial" w:cs="Arial"/>
                <w:kern w:val="0"/>
                <w14:ligatures w14:val="none"/>
              </w:rPr>
              <w:t>Reserve</w:t>
            </w:r>
            <w:proofErr w:type="gramEnd"/>
            <w:r w:rsidRPr="007D37CC">
              <w:rPr>
                <w:rFonts w:ascii="Arial" w:eastAsia="Arial" w:hAnsi="Arial" w:cs="Arial"/>
                <w:kern w:val="0"/>
                <w14:ligatures w14:val="none"/>
              </w:rPr>
              <w:t xml:space="preserve"> Interest Income</w:t>
            </w:r>
          </w:p>
        </w:tc>
        <w:tc>
          <w:tcPr>
            <w:tcW w:w="0" w:type="auto"/>
            <w:tcBorders>
              <w:top w:val="outset" w:sz="6" w:space="0" w:color="auto"/>
              <w:left w:val="outset" w:sz="6" w:space="0" w:color="auto"/>
              <w:bottom w:val="outset" w:sz="6" w:space="0" w:color="auto"/>
              <w:right w:val="outset" w:sz="6" w:space="0" w:color="auto"/>
            </w:tcBorders>
            <w:vAlign w:val="center"/>
            <w:hideMark/>
          </w:tcPr>
          <w:p w14:paraId="1632F94A" w14:textId="5B456D93" w:rsidR="007D37CC" w:rsidRPr="007D37CC" w:rsidRDefault="00040C55" w:rsidP="002D362F">
            <w:pPr>
              <w:spacing w:after="0"/>
              <w:rPr>
                <w:rFonts w:ascii="Arial" w:eastAsia="Arial" w:hAnsi="Arial" w:cs="Arial"/>
                <w:kern w:val="0"/>
                <w14:ligatures w14:val="none"/>
              </w:rPr>
            </w:pPr>
            <w:r w:rsidRPr="007D37CC">
              <w:rPr>
                <w:rFonts w:ascii="Arial" w:eastAsia="Arial" w:hAnsi="Arial" w:cs="Arial"/>
                <w:kern w:val="0"/>
                <w14:ligatures w14:val="none"/>
              </w:rPr>
              <w:t>$2,</w:t>
            </w:r>
            <w:r w:rsidR="002D362F">
              <w:rPr>
                <w:rFonts w:ascii="Arial" w:hAnsi="Arial" w:cs="Arial"/>
              </w:rPr>
              <w:t>896.88</w:t>
            </w:r>
          </w:p>
        </w:tc>
        <w:tc>
          <w:tcPr>
            <w:tcW w:w="0" w:type="auto"/>
            <w:tcBorders>
              <w:top w:val="outset" w:sz="6" w:space="0" w:color="auto"/>
              <w:left w:val="outset" w:sz="6" w:space="0" w:color="auto"/>
              <w:bottom w:val="outset" w:sz="6" w:space="0" w:color="auto"/>
              <w:right w:val="outset" w:sz="6" w:space="0" w:color="auto"/>
            </w:tcBorders>
            <w:vAlign w:val="center"/>
            <w:hideMark/>
          </w:tcPr>
          <w:p w14:paraId="3C9246A1" w14:textId="4F53C8AF" w:rsidR="007D37CC" w:rsidRPr="007D37CC" w:rsidRDefault="00DC1C87" w:rsidP="00DC1C87">
            <w:pPr>
              <w:spacing w:after="0"/>
              <w:rPr>
                <w:rFonts w:ascii="Arial" w:eastAsia="Arial" w:hAnsi="Arial" w:cs="Arial"/>
                <w:kern w:val="0"/>
                <w14:ligatures w14:val="none"/>
              </w:rPr>
            </w:pPr>
            <w:r>
              <w:rPr>
                <w:rFonts w:ascii="Arial" w:hAnsi="Arial" w:cs="Arial"/>
              </w:rPr>
              <w:t>$14,552.64</w:t>
            </w:r>
          </w:p>
        </w:tc>
        <w:tc>
          <w:tcPr>
            <w:tcW w:w="0" w:type="auto"/>
            <w:tcBorders>
              <w:top w:val="outset" w:sz="6" w:space="0" w:color="auto"/>
              <w:left w:val="outset" w:sz="6" w:space="0" w:color="auto"/>
              <w:bottom w:val="outset" w:sz="6" w:space="0" w:color="auto"/>
              <w:right w:val="outset" w:sz="6" w:space="0" w:color="auto"/>
            </w:tcBorders>
            <w:vAlign w:val="center"/>
            <w:hideMark/>
          </w:tcPr>
          <w:p w14:paraId="52AC518C" w14:textId="06A78310" w:rsidR="007D37CC" w:rsidRPr="007D37CC" w:rsidRDefault="0099176C" w:rsidP="0099176C">
            <w:pPr>
              <w:spacing w:after="0"/>
              <w:rPr>
                <w:rFonts w:ascii="Arial" w:eastAsia="Arial" w:hAnsi="Arial" w:cs="Arial"/>
                <w:kern w:val="0"/>
                <w14:ligatures w14:val="none"/>
              </w:rPr>
            </w:pPr>
            <w:r>
              <w:rPr>
                <w:rFonts w:ascii="Arial" w:hAnsi="Arial" w:cs="Arial"/>
                <w:b/>
                <w:bCs/>
                <w:color w:val="8B1A1A"/>
              </w:rPr>
              <w:t>$(11,655.76)</w:t>
            </w:r>
          </w:p>
        </w:tc>
        <w:tc>
          <w:tcPr>
            <w:tcW w:w="0" w:type="auto"/>
            <w:tcBorders>
              <w:top w:val="outset" w:sz="6" w:space="0" w:color="auto"/>
              <w:left w:val="outset" w:sz="6" w:space="0" w:color="auto"/>
              <w:bottom w:val="outset" w:sz="6" w:space="0" w:color="auto"/>
              <w:right w:val="outset" w:sz="6" w:space="0" w:color="auto"/>
            </w:tcBorders>
            <w:vAlign w:val="center"/>
            <w:hideMark/>
          </w:tcPr>
          <w:p w14:paraId="37C15781"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b/>
                <w:bCs/>
                <w:color w:val="8B1A1A"/>
                <w:kern w:val="0"/>
                <w14:ligatures w14:val="none"/>
              </w:rPr>
              <w:t>Timing Variance</w:t>
            </w:r>
          </w:p>
        </w:tc>
      </w:tr>
      <w:tr w:rsidR="007D37CC" w:rsidRPr="007D37CC" w14:paraId="67625EB6" w14:textId="77777777" w:rsidTr="008148EE">
        <w:tc>
          <w:tcPr>
            <w:tcW w:w="0" w:type="auto"/>
            <w:tcBorders>
              <w:top w:val="outset" w:sz="6" w:space="0" w:color="auto"/>
              <w:left w:val="outset" w:sz="6" w:space="0" w:color="auto"/>
              <w:bottom w:val="outset" w:sz="6" w:space="0" w:color="auto"/>
              <w:right w:val="outset" w:sz="6" w:space="0" w:color="auto"/>
            </w:tcBorders>
            <w:vAlign w:val="center"/>
            <w:hideMark/>
          </w:tcPr>
          <w:p w14:paraId="27A9A79A"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b/>
                <w:bCs/>
                <w:kern w:val="0"/>
                <w14:ligatures w14:val="none"/>
              </w:rPr>
              <w:t>Total Income</w:t>
            </w:r>
          </w:p>
        </w:tc>
        <w:tc>
          <w:tcPr>
            <w:tcW w:w="0" w:type="auto"/>
            <w:tcBorders>
              <w:top w:val="outset" w:sz="6" w:space="0" w:color="auto"/>
              <w:left w:val="outset" w:sz="6" w:space="0" w:color="auto"/>
              <w:bottom w:val="outset" w:sz="6" w:space="0" w:color="auto"/>
              <w:right w:val="outset" w:sz="6" w:space="0" w:color="auto"/>
            </w:tcBorders>
            <w:vAlign w:val="center"/>
            <w:hideMark/>
          </w:tcPr>
          <w:p w14:paraId="328F871A" w14:textId="5A3E1482" w:rsidR="007D37CC" w:rsidRPr="007D37CC" w:rsidRDefault="009B74F7" w:rsidP="009B74F7">
            <w:pPr>
              <w:spacing w:after="0"/>
              <w:rPr>
                <w:rFonts w:ascii="Arial" w:eastAsia="Arial" w:hAnsi="Arial" w:cs="Arial"/>
                <w:kern w:val="0"/>
                <w14:ligatures w14:val="none"/>
              </w:rPr>
            </w:pPr>
            <w:r>
              <w:rPr>
                <w:rFonts w:ascii="Arial" w:hAnsi="Arial" w:cs="Arial"/>
                <w:b/>
                <w:bCs/>
              </w:rPr>
              <w:t>$216,400.21</w:t>
            </w:r>
          </w:p>
        </w:tc>
        <w:tc>
          <w:tcPr>
            <w:tcW w:w="0" w:type="auto"/>
            <w:tcBorders>
              <w:top w:val="outset" w:sz="6" w:space="0" w:color="auto"/>
              <w:left w:val="outset" w:sz="6" w:space="0" w:color="auto"/>
              <w:bottom w:val="outset" w:sz="6" w:space="0" w:color="auto"/>
              <w:right w:val="outset" w:sz="6" w:space="0" w:color="auto"/>
            </w:tcBorders>
            <w:vAlign w:val="center"/>
            <w:hideMark/>
          </w:tcPr>
          <w:p w14:paraId="473EC736" w14:textId="65843F86" w:rsidR="007D37CC" w:rsidRPr="007D37CC" w:rsidRDefault="008D5F8A" w:rsidP="008D5F8A">
            <w:pPr>
              <w:spacing w:after="0"/>
              <w:rPr>
                <w:rFonts w:ascii="Arial" w:eastAsia="Arial" w:hAnsi="Arial" w:cs="Arial"/>
                <w:kern w:val="0"/>
                <w14:ligatures w14:val="none"/>
              </w:rPr>
            </w:pPr>
            <w:r>
              <w:rPr>
                <w:rFonts w:ascii="Arial" w:hAnsi="Arial" w:cs="Arial"/>
                <w:b/>
                <w:bCs/>
              </w:rPr>
              <w:t>$229,365.36</w:t>
            </w:r>
          </w:p>
        </w:tc>
        <w:tc>
          <w:tcPr>
            <w:tcW w:w="0" w:type="auto"/>
            <w:tcBorders>
              <w:top w:val="outset" w:sz="6" w:space="0" w:color="auto"/>
              <w:left w:val="outset" w:sz="6" w:space="0" w:color="auto"/>
              <w:bottom w:val="outset" w:sz="6" w:space="0" w:color="auto"/>
              <w:right w:val="outset" w:sz="6" w:space="0" w:color="auto"/>
            </w:tcBorders>
            <w:vAlign w:val="center"/>
            <w:hideMark/>
          </w:tcPr>
          <w:p w14:paraId="4E6D497E" w14:textId="53E4B3E8" w:rsidR="007D37CC" w:rsidRPr="007D37CC" w:rsidRDefault="005C72C9" w:rsidP="005C72C9">
            <w:pPr>
              <w:spacing w:after="0"/>
              <w:rPr>
                <w:rFonts w:ascii="Arial" w:eastAsia="Arial" w:hAnsi="Arial" w:cs="Arial"/>
                <w:kern w:val="0"/>
                <w14:ligatures w14:val="none"/>
              </w:rPr>
            </w:pPr>
            <w:r>
              <w:rPr>
                <w:rFonts w:ascii="Arial" w:hAnsi="Arial" w:cs="Arial"/>
                <w:b/>
                <w:bCs/>
                <w:color w:val="8B1A1A"/>
              </w:rPr>
              <w:t>$(12,965.15)</w:t>
            </w:r>
          </w:p>
        </w:tc>
        <w:tc>
          <w:tcPr>
            <w:tcW w:w="0" w:type="auto"/>
            <w:tcBorders>
              <w:top w:val="outset" w:sz="6" w:space="0" w:color="auto"/>
              <w:left w:val="outset" w:sz="6" w:space="0" w:color="auto"/>
              <w:bottom w:val="outset" w:sz="6" w:space="0" w:color="auto"/>
              <w:right w:val="outset" w:sz="6" w:space="0" w:color="auto"/>
            </w:tcBorders>
            <w:vAlign w:val="center"/>
            <w:hideMark/>
          </w:tcPr>
          <w:p w14:paraId="51A94FAC"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b/>
                <w:bCs/>
                <w:color w:val="8B1A1A"/>
                <w:kern w:val="0"/>
                <w14:ligatures w14:val="none"/>
              </w:rPr>
              <w:t>Unfavorable</w:t>
            </w:r>
          </w:p>
        </w:tc>
      </w:tr>
      <w:tr w:rsidR="007D37CC" w:rsidRPr="007D37CC" w14:paraId="5D481F6C" w14:textId="77777777" w:rsidTr="008148EE">
        <w:tc>
          <w:tcPr>
            <w:tcW w:w="0" w:type="auto"/>
            <w:gridSpan w:val="5"/>
            <w:tcBorders>
              <w:top w:val="outset" w:sz="6" w:space="0" w:color="auto"/>
              <w:left w:val="outset" w:sz="6" w:space="0" w:color="auto"/>
              <w:bottom w:val="outset" w:sz="6" w:space="0" w:color="auto"/>
              <w:right w:val="outset" w:sz="6" w:space="0" w:color="auto"/>
            </w:tcBorders>
            <w:shd w:val="clear" w:color="auto" w:fill="E8EEF7"/>
            <w:tcMar>
              <w:top w:w="90" w:type="dxa"/>
              <w:left w:w="135" w:type="dxa"/>
              <w:bottom w:w="90" w:type="dxa"/>
              <w:right w:w="135" w:type="dxa"/>
            </w:tcMar>
            <w:hideMark/>
          </w:tcPr>
          <w:p w14:paraId="43D8552B" w14:textId="77777777" w:rsidR="007D37CC" w:rsidRPr="007D37CC" w:rsidRDefault="007D37CC" w:rsidP="007D37CC">
            <w:pPr>
              <w:spacing w:after="0" w:line="240" w:lineRule="auto"/>
              <w:rPr>
                <w:rFonts w:ascii="Arial" w:eastAsia="Arial" w:hAnsi="Arial" w:cs="Arial"/>
                <w:kern w:val="0"/>
                <w14:ligatures w14:val="none"/>
              </w:rPr>
            </w:pPr>
            <w:r w:rsidRPr="007D37CC">
              <w:rPr>
                <w:rFonts w:ascii="Calibri" w:eastAsia="Arial" w:hAnsi="Calibri" w:cs="Calibri"/>
                <w:b/>
                <w:bCs/>
                <w:i/>
                <w:iCs/>
                <w:color w:val="1A3A5C"/>
                <w:kern w:val="0"/>
                <w:sz w:val="22"/>
                <w:szCs w:val="22"/>
                <w14:ligatures w14:val="none"/>
              </w:rPr>
              <w:t>OPERATING EXPENSES</w:t>
            </w:r>
          </w:p>
        </w:tc>
      </w:tr>
      <w:tr w:rsidR="007D37CC" w:rsidRPr="007D37CC" w14:paraId="653584C3" w14:textId="77777777" w:rsidTr="008148EE">
        <w:tc>
          <w:tcPr>
            <w:tcW w:w="0" w:type="auto"/>
            <w:tcBorders>
              <w:top w:val="outset" w:sz="6" w:space="0" w:color="auto"/>
              <w:left w:val="outset" w:sz="6" w:space="0" w:color="auto"/>
              <w:bottom w:val="outset" w:sz="6" w:space="0" w:color="auto"/>
              <w:right w:val="outset" w:sz="6" w:space="0" w:color="auto"/>
            </w:tcBorders>
            <w:vAlign w:val="center"/>
            <w:hideMark/>
          </w:tcPr>
          <w:p w14:paraId="32EA530B"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kern w:val="0"/>
                <w14:ligatures w14:val="none"/>
              </w:rPr>
              <w:t>Administrative</w:t>
            </w:r>
          </w:p>
        </w:tc>
        <w:tc>
          <w:tcPr>
            <w:tcW w:w="0" w:type="auto"/>
            <w:tcBorders>
              <w:top w:val="outset" w:sz="6" w:space="0" w:color="auto"/>
              <w:left w:val="outset" w:sz="6" w:space="0" w:color="auto"/>
              <w:bottom w:val="outset" w:sz="6" w:space="0" w:color="auto"/>
              <w:right w:val="outset" w:sz="6" w:space="0" w:color="auto"/>
            </w:tcBorders>
            <w:vAlign w:val="center"/>
            <w:hideMark/>
          </w:tcPr>
          <w:p w14:paraId="62809A8C" w14:textId="2FCB9CC1" w:rsidR="007D37CC" w:rsidRPr="007D37CC" w:rsidRDefault="004678E5" w:rsidP="004678E5">
            <w:pPr>
              <w:spacing w:after="0"/>
              <w:rPr>
                <w:rFonts w:ascii="Arial" w:eastAsia="Arial" w:hAnsi="Arial" w:cs="Arial"/>
                <w:kern w:val="0"/>
                <w14:ligatures w14:val="none"/>
              </w:rPr>
            </w:pPr>
            <w:r>
              <w:rPr>
                <w:rFonts w:ascii="Arial" w:hAnsi="Arial" w:cs="Arial"/>
              </w:rPr>
              <w:t>$38,940.65</w:t>
            </w:r>
          </w:p>
        </w:tc>
        <w:tc>
          <w:tcPr>
            <w:tcW w:w="0" w:type="auto"/>
            <w:tcBorders>
              <w:top w:val="outset" w:sz="6" w:space="0" w:color="auto"/>
              <w:left w:val="outset" w:sz="6" w:space="0" w:color="auto"/>
              <w:bottom w:val="outset" w:sz="6" w:space="0" w:color="auto"/>
              <w:right w:val="outset" w:sz="6" w:space="0" w:color="auto"/>
            </w:tcBorders>
            <w:vAlign w:val="center"/>
            <w:hideMark/>
          </w:tcPr>
          <w:p w14:paraId="7AB5C69F" w14:textId="25925A2B" w:rsidR="007D37CC" w:rsidRPr="007D37CC" w:rsidRDefault="008C5C76" w:rsidP="008C5C76">
            <w:pPr>
              <w:spacing w:after="0"/>
              <w:rPr>
                <w:rFonts w:ascii="Arial" w:eastAsia="Arial" w:hAnsi="Arial" w:cs="Arial"/>
                <w:kern w:val="0"/>
                <w14:ligatures w14:val="none"/>
              </w:rPr>
            </w:pPr>
            <w:r>
              <w:rPr>
                <w:rFonts w:ascii="Arial" w:hAnsi="Arial" w:cs="Arial"/>
              </w:rPr>
              <w:t>$20,714.08</w:t>
            </w:r>
          </w:p>
        </w:tc>
        <w:tc>
          <w:tcPr>
            <w:tcW w:w="0" w:type="auto"/>
            <w:tcBorders>
              <w:top w:val="outset" w:sz="6" w:space="0" w:color="auto"/>
              <w:left w:val="outset" w:sz="6" w:space="0" w:color="auto"/>
              <w:bottom w:val="outset" w:sz="6" w:space="0" w:color="auto"/>
              <w:right w:val="outset" w:sz="6" w:space="0" w:color="auto"/>
            </w:tcBorders>
            <w:vAlign w:val="center"/>
            <w:hideMark/>
          </w:tcPr>
          <w:p w14:paraId="2A91B2D5" w14:textId="7A9B9DAC" w:rsidR="007D37CC" w:rsidRPr="007D37CC" w:rsidRDefault="00734840" w:rsidP="00734840">
            <w:pPr>
              <w:spacing w:after="0"/>
              <w:rPr>
                <w:rFonts w:ascii="Arial" w:eastAsia="Arial" w:hAnsi="Arial" w:cs="Arial"/>
                <w:kern w:val="0"/>
                <w14:ligatures w14:val="none"/>
              </w:rPr>
            </w:pPr>
            <w:r>
              <w:rPr>
                <w:rFonts w:ascii="Arial" w:hAnsi="Arial" w:cs="Arial"/>
                <w:b/>
                <w:bCs/>
                <w:color w:val="8B1A1A"/>
              </w:rPr>
              <w:t>$(18,226.57)</w:t>
            </w:r>
          </w:p>
        </w:tc>
        <w:tc>
          <w:tcPr>
            <w:tcW w:w="0" w:type="auto"/>
            <w:tcBorders>
              <w:top w:val="outset" w:sz="6" w:space="0" w:color="auto"/>
              <w:left w:val="outset" w:sz="6" w:space="0" w:color="auto"/>
              <w:bottom w:val="outset" w:sz="6" w:space="0" w:color="auto"/>
              <w:right w:val="outset" w:sz="6" w:space="0" w:color="auto"/>
            </w:tcBorders>
            <w:vAlign w:val="center"/>
            <w:hideMark/>
          </w:tcPr>
          <w:p w14:paraId="32864C9A"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b/>
                <w:bCs/>
                <w:color w:val="8B1A1A"/>
                <w:kern w:val="0"/>
                <w14:ligatures w14:val="none"/>
              </w:rPr>
              <w:t>Over Budget</w:t>
            </w:r>
          </w:p>
        </w:tc>
      </w:tr>
      <w:tr w:rsidR="007D37CC" w:rsidRPr="007D37CC" w14:paraId="18FF8287" w14:textId="77777777" w:rsidTr="008148EE">
        <w:tc>
          <w:tcPr>
            <w:tcW w:w="0" w:type="auto"/>
            <w:tcBorders>
              <w:top w:val="outset" w:sz="6" w:space="0" w:color="auto"/>
              <w:left w:val="outset" w:sz="6" w:space="0" w:color="auto"/>
              <w:bottom w:val="outset" w:sz="6" w:space="0" w:color="auto"/>
              <w:right w:val="outset" w:sz="6" w:space="0" w:color="auto"/>
            </w:tcBorders>
            <w:vAlign w:val="center"/>
            <w:hideMark/>
          </w:tcPr>
          <w:p w14:paraId="51331E5B"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kern w:val="0"/>
                <w14:ligatures w14:val="none"/>
              </w:rPr>
              <w:t>Grounds</w:t>
            </w:r>
          </w:p>
        </w:tc>
        <w:tc>
          <w:tcPr>
            <w:tcW w:w="0" w:type="auto"/>
            <w:tcBorders>
              <w:top w:val="outset" w:sz="6" w:space="0" w:color="auto"/>
              <w:left w:val="outset" w:sz="6" w:space="0" w:color="auto"/>
              <w:bottom w:val="outset" w:sz="6" w:space="0" w:color="auto"/>
              <w:right w:val="outset" w:sz="6" w:space="0" w:color="auto"/>
            </w:tcBorders>
            <w:vAlign w:val="center"/>
            <w:hideMark/>
          </w:tcPr>
          <w:p w14:paraId="31206A04" w14:textId="34082CCE" w:rsidR="007D37CC" w:rsidRPr="007D37CC" w:rsidRDefault="00D62E28" w:rsidP="00D62E28">
            <w:pPr>
              <w:spacing w:after="0"/>
              <w:rPr>
                <w:rFonts w:ascii="Arial" w:eastAsia="Arial" w:hAnsi="Arial" w:cs="Arial"/>
                <w:kern w:val="0"/>
                <w14:ligatures w14:val="none"/>
              </w:rPr>
            </w:pPr>
            <w:r>
              <w:rPr>
                <w:rFonts w:ascii="Arial" w:hAnsi="Arial" w:cs="Arial"/>
              </w:rPr>
              <w:t>$120,800.86</w:t>
            </w:r>
          </w:p>
        </w:tc>
        <w:tc>
          <w:tcPr>
            <w:tcW w:w="0" w:type="auto"/>
            <w:tcBorders>
              <w:top w:val="outset" w:sz="6" w:space="0" w:color="auto"/>
              <w:left w:val="outset" w:sz="6" w:space="0" w:color="auto"/>
              <w:bottom w:val="outset" w:sz="6" w:space="0" w:color="auto"/>
              <w:right w:val="outset" w:sz="6" w:space="0" w:color="auto"/>
            </w:tcBorders>
            <w:vAlign w:val="center"/>
            <w:hideMark/>
          </w:tcPr>
          <w:p w14:paraId="438FF6F1" w14:textId="44F6D206" w:rsidR="007D37CC" w:rsidRPr="007D37CC" w:rsidRDefault="00A56C5C" w:rsidP="00A56C5C">
            <w:pPr>
              <w:spacing w:after="0"/>
              <w:rPr>
                <w:rFonts w:ascii="Arial" w:eastAsia="Arial" w:hAnsi="Arial" w:cs="Arial"/>
                <w:kern w:val="0"/>
                <w14:ligatures w14:val="none"/>
              </w:rPr>
            </w:pPr>
            <w:r>
              <w:rPr>
                <w:rFonts w:ascii="Arial" w:hAnsi="Arial" w:cs="Arial"/>
              </w:rPr>
              <w:t>$153,474.64</w:t>
            </w:r>
          </w:p>
        </w:tc>
        <w:tc>
          <w:tcPr>
            <w:tcW w:w="0" w:type="auto"/>
            <w:tcBorders>
              <w:top w:val="outset" w:sz="6" w:space="0" w:color="auto"/>
              <w:left w:val="outset" w:sz="6" w:space="0" w:color="auto"/>
              <w:bottom w:val="outset" w:sz="6" w:space="0" w:color="auto"/>
              <w:right w:val="outset" w:sz="6" w:space="0" w:color="auto"/>
            </w:tcBorders>
            <w:vAlign w:val="center"/>
            <w:hideMark/>
          </w:tcPr>
          <w:p w14:paraId="05014D14" w14:textId="34B2712A" w:rsidR="007D37CC" w:rsidRPr="007D37CC" w:rsidRDefault="0051346B" w:rsidP="0051346B">
            <w:pPr>
              <w:spacing w:after="0"/>
              <w:rPr>
                <w:rFonts w:ascii="Arial" w:eastAsia="Arial" w:hAnsi="Arial" w:cs="Arial"/>
                <w:kern w:val="0"/>
                <w14:ligatures w14:val="none"/>
              </w:rPr>
            </w:pPr>
            <w:r>
              <w:rPr>
                <w:rFonts w:ascii="Arial" w:hAnsi="Arial" w:cs="Arial"/>
                <w:b/>
                <w:bCs/>
                <w:color w:val="1A5C2E"/>
              </w:rPr>
              <w:t>$32,673.78</w:t>
            </w:r>
          </w:p>
        </w:tc>
        <w:tc>
          <w:tcPr>
            <w:tcW w:w="0" w:type="auto"/>
            <w:tcBorders>
              <w:top w:val="outset" w:sz="6" w:space="0" w:color="auto"/>
              <w:left w:val="outset" w:sz="6" w:space="0" w:color="auto"/>
              <w:bottom w:val="outset" w:sz="6" w:space="0" w:color="auto"/>
              <w:right w:val="outset" w:sz="6" w:space="0" w:color="auto"/>
            </w:tcBorders>
            <w:vAlign w:val="center"/>
            <w:hideMark/>
          </w:tcPr>
          <w:p w14:paraId="1DF69D5C"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b/>
                <w:bCs/>
                <w:color w:val="1A5C2E"/>
                <w:kern w:val="0"/>
                <w14:ligatures w14:val="none"/>
              </w:rPr>
              <w:t>Under Budget</w:t>
            </w:r>
          </w:p>
        </w:tc>
      </w:tr>
      <w:tr w:rsidR="007D37CC" w:rsidRPr="007D37CC" w14:paraId="6F6A34D4" w14:textId="77777777" w:rsidTr="008148EE">
        <w:tc>
          <w:tcPr>
            <w:tcW w:w="0" w:type="auto"/>
            <w:tcBorders>
              <w:top w:val="outset" w:sz="6" w:space="0" w:color="auto"/>
              <w:left w:val="outset" w:sz="6" w:space="0" w:color="auto"/>
              <w:bottom w:val="outset" w:sz="6" w:space="0" w:color="auto"/>
              <w:right w:val="outset" w:sz="6" w:space="0" w:color="auto"/>
            </w:tcBorders>
            <w:vAlign w:val="center"/>
            <w:hideMark/>
          </w:tcPr>
          <w:p w14:paraId="1D3F400C"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kern w:val="0"/>
                <w14:ligatures w14:val="none"/>
              </w:rPr>
              <w:t>Pool &amp; Recreation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1E88DF62" w14:textId="663BC575" w:rsidR="007D37CC" w:rsidRPr="007D37CC" w:rsidRDefault="00191B09" w:rsidP="00191B09">
            <w:pPr>
              <w:spacing w:after="0"/>
              <w:rPr>
                <w:rFonts w:ascii="Arial" w:eastAsia="Arial" w:hAnsi="Arial" w:cs="Arial"/>
                <w:kern w:val="0"/>
                <w14:ligatures w14:val="none"/>
              </w:rPr>
            </w:pPr>
            <w:r>
              <w:rPr>
                <w:rFonts w:ascii="Arial" w:hAnsi="Arial" w:cs="Arial"/>
              </w:rPr>
              <w:t>$10,147.02</w:t>
            </w:r>
          </w:p>
        </w:tc>
        <w:tc>
          <w:tcPr>
            <w:tcW w:w="0" w:type="auto"/>
            <w:tcBorders>
              <w:top w:val="outset" w:sz="6" w:space="0" w:color="auto"/>
              <w:left w:val="outset" w:sz="6" w:space="0" w:color="auto"/>
              <w:bottom w:val="outset" w:sz="6" w:space="0" w:color="auto"/>
              <w:right w:val="outset" w:sz="6" w:space="0" w:color="auto"/>
            </w:tcBorders>
            <w:vAlign w:val="center"/>
            <w:hideMark/>
          </w:tcPr>
          <w:p w14:paraId="03EE6FF9" w14:textId="6EFBDAB7" w:rsidR="007D37CC" w:rsidRPr="007D37CC" w:rsidRDefault="00040C55" w:rsidP="000D75B9">
            <w:pPr>
              <w:spacing w:after="0"/>
              <w:rPr>
                <w:rFonts w:ascii="Arial" w:eastAsia="Arial" w:hAnsi="Arial" w:cs="Arial"/>
                <w:kern w:val="0"/>
                <w14:ligatures w14:val="none"/>
              </w:rPr>
            </w:pPr>
            <w:r w:rsidRPr="007D37CC">
              <w:rPr>
                <w:rFonts w:ascii="Arial" w:eastAsia="Arial" w:hAnsi="Arial" w:cs="Arial"/>
                <w:kern w:val="0"/>
                <w14:ligatures w14:val="none"/>
              </w:rPr>
              <w:t>$</w:t>
            </w:r>
            <w:r w:rsidR="000D75B9">
              <w:rPr>
                <w:rFonts w:ascii="Arial" w:hAnsi="Arial" w:cs="Arial"/>
              </w:rPr>
              <w:t>10,520</w:t>
            </w:r>
            <w:r w:rsidRPr="007D37CC">
              <w:rPr>
                <w:rFonts w:ascii="Arial" w:eastAsia="Arial" w:hAnsi="Arial" w:cs="Arial"/>
                <w:kern w:val="0"/>
                <w14:ligatures w14:val="none"/>
              </w:rPr>
              <w:t>.00</w:t>
            </w:r>
          </w:p>
        </w:tc>
        <w:tc>
          <w:tcPr>
            <w:tcW w:w="0" w:type="auto"/>
            <w:tcBorders>
              <w:top w:val="outset" w:sz="6" w:space="0" w:color="auto"/>
              <w:left w:val="outset" w:sz="6" w:space="0" w:color="auto"/>
              <w:bottom w:val="outset" w:sz="6" w:space="0" w:color="auto"/>
              <w:right w:val="outset" w:sz="6" w:space="0" w:color="auto"/>
            </w:tcBorders>
            <w:vAlign w:val="center"/>
            <w:hideMark/>
          </w:tcPr>
          <w:p w14:paraId="6D4A4DDD" w14:textId="4F8D95E6" w:rsidR="007D37CC" w:rsidRPr="007D37CC" w:rsidRDefault="00A2595D" w:rsidP="00A2595D">
            <w:pPr>
              <w:spacing w:after="0"/>
              <w:rPr>
                <w:rFonts w:ascii="Arial" w:eastAsia="Arial" w:hAnsi="Arial" w:cs="Arial"/>
                <w:kern w:val="0"/>
                <w14:ligatures w14:val="none"/>
              </w:rPr>
            </w:pPr>
            <w:r>
              <w:rPr>
                <w:rFonts w:ascii="Arial" w:hAnsi="Arial" w:cs="Arial"/>
                <w:b/>
                <w:bCs/>
                <w:color w:val="1A5C2E"/>
              </w:rPr>
              <w:t>$372.98</w:t>
            </w:r>
          </w:p>
        </w:tc>
        <w:tc>
          <w:tcPr>
            <w:tcW w:w="0" w:type="auto"/>
            <w:tcBorders>
              <w:top w:val="outset" w:sz="6" w:space="0" w:color="auto"/>
              <w:left w:val="outset" w:sz="6" w:space="0" w:color="auto"/>
              <w:bottom w:val="outset" w:sz="6" w:space="0" w:color="auto"/>
              <w:right w:val="outset" w:sz="6" w:space="0" w:color="auto"/>
            </w:tcBorders>
            <w:vAlign w:val="center"/>
            <w:hideMark/>
          </w:tcPr>
          <w:p w14:paraId="569A1025"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kern w:val="0"/>
                <w14:ligatures w14:val="none"/>
              </w:rPr>
              <w:t>On Target</w:t>
            </w:r>
          </w:p>
        </w:tc>
      </w:tr>
      <w:tr w:rsidR="007D37CC" w:rsidRPr="007D37CC" w14:paraId="04683B5B" w14:textId="77777777" w:rsidTr="008148EE">
        <w:tc>
          <w:tcPr>
            <w:tcW w:w="0" w:type="auto"/>
            <w:tcBorders>
              <w:top w:val="outset" w:sz="6" w:space="0" w:color="auto"/>
              <w:left w:val="outset" w:sz="6" w:space="0" w:color="auto"/>
              <w:bottom w:val="outset" w:sz="6" w:space="0" w:color="auto"/>
              <w:right w:val="outset" w:sz="6" w:space="0" w:color="auto"/>
            </w:tcBorders>
            <w:vAlign w:val="center"/>
            <w:hideMark/>
          </w:tcPr>
          <w:p w14:paraId="58799D9A"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kern w:val="0"/>
                <w14:ligatures w14:val="none"/>
              </w:rPr>
              <w:t>Repairs &amp; Maintenance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4CA00F10" w14:textId="14C9B6CF" w:rsidR="007D37CC" w:rsidRPr="007D37CC" w:rsidRDefault="00532604" w:rsidP="00532604">
            <w:pPr>
              <w:spacing w:after="0"/>
              <w:rPr>
                <w:rFonts w:ascii="Arial" w:eastAsia="Arial" w:hAnsi="Arial" w:cs="Arial"/>
                <w:kern w:val="0"/>
                <w14:ligatures w14:val="none"/>
              </w:rPr>
            </w:pPr>
            <w:r>
              <w:rPr>
                <w:rFonts w:ascii="Arial" w:hAnsi="Arial" w:cs="Arial"/>
              </w:rPr>
              <w:t>$12,167.04</w:t>
            </w:r>
          </w:p>
        </w:tc>
        <w:tc>
          <w:tcPr>
            <w:tcW w:w="0" w:type="auto"/>
            <w:tcBorders>
              <w:top w:val="outset" w:sz="6" w:space="0" w:color="auto"/>
              <w:left w:val="outset" w:sz="6" w:space="0" w:color="auto"/>
              <w:bottom w:val="outset" w:sz="6" w:space="0" w:color="auto"/>
              <w:right w:val="outset" w:sz="6" w:space="0" w:color="auto"/>
            </w:tcBorders>
            <w:vAlign w:val="center"/>
            <w:hideMark/>
          </w:tcPr>
          <w:p w14:paraId="336EA4CA" w14:textId="142F405C" w:rsidR="007D37CC" w:rsidRPr="007D37CC" w:rsidRDefault="007257DB" w:rsidP="007257DB">
            <w:pPr>
              <w:spacing w:after="0"/>
              <w:rPr>
                <w:rFonts w:ascii="Arial" w:eastAsia="Arial" w:hAnsi="Arial" w:cs="Arial"/>
                <w:kern w:val="0"/>
                <w14:ligatures w14:val="none"/>
              </w:rPr>
            </w:pPr>
            <w:r>
              <w:rPr>
                <w:rFonts w:ascii="Arial" w:hAnsi="Arial" w:cs="Arial"/>
              </w:rPr>
              <w:t>$16,145.28</w:t>
            </w:r>
          </w:p>
        </w:tc>
        <w:tc>
          <w:tcPr>
            <w:tcW w:w="0" w:type="auto"/>
            <w:tcBorders>
              <w:top w:val="outset" w:sz="6" w:space="0" w:color="auto"/>
              <w:left w:val="outset" w:sz="6" w:space="0" w:color="auto"/>
              <w:bottom w:val="outset" w:sz="6" w:space="0" w:color="auto"/>
              <w:right w:val="outset" w:sz="6" w:space="0" w:color="auto"/>
            </w:tcBorders>
            <w:vAlign w:val="center"/>
            <w:hideMark/>
          </w:tcPr>
          <w:p w14:paraId="36B4BA44" w14:textId="11AFAC46" w:rsidR="007D37CC" w:rsidRPr="007D37CC" w:rsidRDefault="00A75CDE" w:rsidP="00A75CDE">
            <w:pPr>
              <w:spacing w:after="0"/>
              <w:rPr>
                <w:rFonts w:ascii="Arial" w:eastAsia="Arial" w:hAnsi="Arial" w:cs="Arial"/>
                <w:kern w:val="0"/>
                <w14:ligatures w14:val="none"/>
              </w:rPr>
            </w:pPr>
            <w:r>
              <w:rPr>
                <w:rFonts w:ascii="Arial" w:hAnsi="Arial" w:cs="Arial"/>
                <w:b/>
                <w:bCs/>
                <w:color w:val="1A5C2E"/>
              </w:rPr>
              <w:t>$3,978.24</w:t>
            </w:r>
          </w:p>
        </w:tc>
        <w:tc>
          <w:tcPr>
            <w:tcW w:w="0" w:type="auto"/>
            <w:tcBorders>
              <w:top w:val="outset" w:sz="6" w:space="0" w:color="auto"/>
              <w:left w:val="outset" w:sz="6" w:space="0" w:color="auto"/>
              <w:bottom w:val="outset" w:sz="6" w:space="0" w:color="auto"/>
              <w:right w:val="outset" w:sz="6" w:space="0" w:color="auto"/>
            </w:tcBorders>
            <w:vAlign w:val="center"/>
            <w:hideMark/>
          </w:tcPr>
          <w:p w14:paraId="4E5A9739"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b/>
                <w:bCs/>
                <w:color w:val="1A5C2E"/>
                <w:kern w:val="0"/>
                <w14:ligatures w14:val="none"/>
              </w:rPr>
              <w:t>Under Budget</w:t>
            </w:r>
          </w:p>
        </w:tc>
      </w:tr>
      <w:tr w:rsidR="007D37CC" w:rsidRPr="007D37CC" w14:paraId="74D4F444" w14:textId="77777777" w:rsidTr="008148EE">
        <w:tc>
          <w:tcPr>
            <w:tcW w:w="0" w:type="auto"/>
            <w:tcBorders>
              <w:top w:val="outset" w:sz="6" w:space="0" w:color="auto"/>
              <w:left w:val="outset" w:sz="6" w:space="0" w:color="auto"/>
              <w:bottom w:val="outset" w:sz="6" w:space="0" w:color="auto"/>
              <w:right w:val="outset" w:sz="6" w:space="0" w:color="auto"/>
            </w:tcBorders>
            <w:vAlign w:val="center"/>
            <w:hideMark/>
          </w:tcPr>
          <w:p w14:paraId="2DB9B6C6"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kern w:val="0"/>
                <w14:ligatures w14:val="none"/>
              </w:rPr>
              <w:t>Utilities</w:t>
            </w:r>
          </w:p>
        </w:tc>
        <w:tc>
          <w:tcPr>
            <w:tcW w:w="0" w:type="auto"/>
            <w:tcBorders>
              <w:top w:val="outset" w:sz="6" w:space="0" w:color="auto"/>
              <w:left w:val="outset" w:sz="6" w:space="0" w:color="auto"/>
              <w:bottom w:val="outset" w:sz="6" w:space="0" w:color="auto"/>
              <w:right w:val="outset" w:sz="6" w:space="0" w:color="auto"/>
            </w:tcBorders>
            <w:vAlign w:val="center"/>
            <w:hideMark/>
          </w:tcPr>
          <w:p w14:paraId="48A5A3EB" w14:textId="2473ADB5" w:rsidR="007D37CC" w:rsidRPr="007D37CC" w:rsidRDefault="00040C55" w:rsidP="00F87604">
            <w:pPr>
              <w:spacing w:after="0"/>
              <w:rPr>
                <w:rFonts w:ascii="Arial" w:eastAsia="Arial" w:hAnsi="Arial" w:cs="Arial"/>
                <w:kern w:val="0"/>
                <w14:ligatures w14:val="none"/>
              </w:rPr>
            </w:pPr>
            <w:r w:rsidRPr="007D37CC">
              <w:rPr>
                <w:rFonts w:ascii="Arial" w:eastAsia="Arial" w:hAnsi="Arial" w:cs="Arial"/>
                <w:kern w:val="0"/>
                <w14:ligatures w14:val="none"/>
              </w:rPr>
              <w:t>$</w:t>
            </w:r>
            <w:r w:rsidR="00F87604">
              <w:rPr>
                <w:rFonts w:ascii="Arial" w:hAnsi="Arial" w:cs="Arial"/>
              </w:rPr>
              <w:t>9,375</w:t>
            </w:r>
            <w:r w:rsidRPr="007D37CC">
              <w:rPr>
                <w:rFonts w:ascii="Arial" w:eastAsia="Arial" w:hAnsi="Arial" w:cs="Arial"/>
                <w:kern w:val="0"/>
                <w14:ligatures w14:val="none"/>
              </w:rPr>
              <w:t>.11</w:t>
            </w:r>
          </w:p>
        </w:tc>
        <w:tc>
          <w:tcPr>
            <w:tcW w:w="0" w:type="auto"/>
            <w:tcBorders>
              <w:top w:val="outset" w:sz="6" w:space="0" w:color="auto"/>
              <w:left w:val="outset" w:sz="6" w:space="0" w:color="auto"/>
              <w:bottom w:val="outset" w:sz="6" w:space="0" w:color="auto"/>
              <w:right w:val="outset" w:sz="6" w:space="0" w:color="auto"/>
            </w:tcBorders>
            <w:vAlign w:val="center"/>
            <w:hideMark/>
          </w:tcPr>
          <w:p w14:paraId="158E4DFC" w14:textId="12ECB831" w:rsidR="007D37CC" w:rsidRPr="007D37CC" w:rsidRDefault="00040C55" w:rsidP="004D5F88">
            <w:pPr>
              <w:spacing w:after="0"/>
              <w:rPr>
                <w:rFonts w:ascii="Arial" w:eastAsia="Arial" w:hAnsi="Arial" w:cs="Arial"/>
                <w:kern w:val="0"/>
                <w14:ligatures w14:val="none"/>
              </w:rPr>
            </w:pPr>
            <w:r w:rsidRPr="007D37CC">
              <w:rPr>
                <w:rFonts w:ascii="Arial" w:eastAsia="Arial" w:hAnsi="Arial" w:cs="Arial"/>
                <w:kern w:val="0"/>
                <w14:ligatures w14:val="none"/>
              </w:rPr>
              <w:t>$</w:t>
            </w:r>
            <w:r w:rsidR="004D5F88">
              <w:rPr>
                <w:rFonts w:ascii="Arial" w:hAnsi="Arial" w:cs="Arial"/>
              </w:rPr>
              <w:t>11,200</w:t>
            </w:r>
            <w:r w:rsidRPr="007D37CC">
              <w:rPr>
                <w:rFonts w:ascii="Arial" w:eastAsia="Arial" w:hAnsi="Arial" w:cs="Arial"/>
                <w:kern w:val="0"/>
                <w14:ligatures w14:val="none"/>
              </w:rPr>
              <w:t>.00</w:t>
            </w:r>
          </w:p>
        </w:tc>
        <w:tc>
          <w:tcPr>
            <w:tcW w:w="0" w:type="auto"/>
            <w:tcBorders>
              <w:top w:val="outset" w:sz="6" w:space="0" w:color="auto"/>
              <w:left w:val="outset" w:sz="6" w:space="0" w:color="auto"/>
              <w:bottom w:val="outset" w:sz="6" w:space="0" w:color="auto"/>
              <w:right w:val="outset" w:sz="6" w:space="0" w:color="auto"/>
            </w:tcBorders>
            <w:vAlign w:val="center"/>
            <w:hideMark/>
          </w:tcPr>
          <w:p w14:paraId="0F526756" w14:textId="778E8A91" w:rsidR="007D37CC" w:rsidRPr="007D37CC" w:rsidRDefault="00040C55" w:rsidP="000053B0">
            <w:pPr>
              <w:spacing w:after="0"/>
              <w:rPr>
                <w:rFonts w:ascii="Arial" w:eastAsia="Arial" w:hAnsi="Arial" w:cs="Arial"/>
                <w:kern w:val="0"/>
                <w14:ligatures w14:val="none"/>
              </w:rPr>
            </w:pPr>
            <w:r w:rsidRPr="007D37CC">
              <w:rPr>
                <w:rFonts w:ascii="Arial" w:eastAsia="Arial" w:hAnsi="Arial" w:cs="Arial"/>
                <w:b/>
                <w:bCs/>
                <w:color w:val="1A5C2E"/>
                <w:kern w:val="0"/>
                <w14:ligatures w14:val="none"/>
              </w:rPr>
              <w:t>$1,</w:t>
            </w:r>
            <w:r w:rsidR="000053B0">
              <w:rPr>
                <w:rFonts w:ascii="Arial" w:hAnsi="Arial" w:cs="Arial"/>
                <w:b/>
                <w:bCs/>
                <w:color w:val="1A5C2E"/>
              </w:rPr>
              <w:t>824</w:t>
            </w:r>
            <w:r w:rsidRPr="007D37CC">
              <w:rPr>
                <w:rFonts w:ascii="Arial" w:eastAsia="Arial" w:hAnsi="Arial" w:cs="Arial"/>
                <w:b/>
                <w:bCs/>
                <w:color w:val="1A5C2E"/>
                <w:kern w:val="0"/>
                <w14:ligatures w14:val="none"/>
              </w:rPr>
              <w:t>.89</w:t>
            </w:r>
          </w:p>
        </w:tc>
        <w:tc>
          <w:tcPr>
            <w:tcW w:w="0" w:type="auto"/>
            <w:tcBorders>
              <w:top w:val="outset" w:sz="6" w:space="0" w:color="auto"/>
              <w:left w:val="outset" w:sz="6" w:space="0" w:color="auto"/>
              <w:bottom w:val="outset" w:sz="6" w:space="0" w:color="auto"/>
              <w:right w:val="outset" w:sz="6" w:space="0" w:color="auto"/>
            </w:tcBorders>
            <w:vAlign w:val="center"/>
            <w:hideMark/>
          </w:tcPr>
          <w:p w14:paraId="6752F6DA"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b/>
                <w:bCs/>
                <w:color w:val="1A5C2E"/>
                <w:kern w:val="0"/>
                <w14:ligatures w14:val="none"/>
              </w:rPr>
              <w:t>Under Budget</w:t>
            </w:r>
          </w:p>
        </w:tc>
      </w:tr>
      <w:tr w:rsidR="007D37CC" w:rsidRPr="007D37CC" w14:paraId="41690785" w14:textId="77777777" w:rsidTr="008148EE">
        <w:tc>
          <w:tcPr>
            <w:tcW w:w="0" w:type="auto"/>
            <w:tcBorders>
              <w:top w:val="outset" w:sz="6" w:space="0" w:color="auto"/>
              <w:left w:val="outset" w:sz="6" w:space="0" w:color="auto"/>
              <w:bottom w:val="outset" w:sz="6" w:space="0" w:color="auto"/>
              <w:right w:val="outset" w:sz="6" w:space="0" w:color="auto"/>
            </w:tcBorders>
            <w:vAlign w:val="center"/>
            <w:hideMark/>
          </w:tcPr>
          <w:p w14:paraId="28ABC433"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b/>
                <w:bCs/>
                <w:kern w:val="0"/>
                <w14:ligatures w14:val="none"/>
              </w:rPr>
              <w:t>Total Expense</w:t>
            </w:r>
          </w:p>
        </w:tc>
        <w:tc>
          <w:tcPr>
            <w:tcW w:w="0" w:type="auto"/>
            <w:tcBorders>
              <w:top w:val="outset" w:sz="6" w:space="0" w:color="auto"/>
              <w:left w:val="outset" w:sz="6" w:space="0" w:color="auto"/>
              <w:bottom w:val="outset" w:sz="6" w:space="0" w:color="auto"/>
              <w:right w:val="outset" w:sz="6" w:space="0" w:color="auto"/>
            </w:tcBorders>
            <w:vAlign w:val="center"/>
            <w:hideMark/>
          </w:tcPr>
          <w:p w14:paraId="609296CB" w14:textId="458E5257" w:rsidR="007D37CC" w:rsidRPr="007D37CC" w:rsidRDefault="003F5091" w:rsidP="003F5091">
            <w:pPr>
              <w:spacing w:after="0"/>
              <w:rPr>
                <w:rFonts w:ascii="Arial" w:eastAsia="Arial" w:hAnsi="Arial" w:cs="Arial"/>
                <w:kern w:val="0"/>
                <w14:ligatures w14:val="none"/>
              </w:rPr>
            </w:pPr>
            <w:r>
              <w:rPr>
                <w:rFonts w:ascii="Arial" w:hAnsi="Arial" w:cs="Arial"/>
                <w:b/>
                <w:bCs/>
              </w:rPr>
              <w:t>$211,638.80</w:t>
            </w:r>
          </w:p>
        </w:tc>
        <w:tc>
          <w:tcPr>
            <w:tcW w:w="0" w:type="auto"/>
            <w:tcBorders>
              <w:top w:val="outset" w:sz="6" w:space="0" w:color="auto"/>
              <w:left w:val="outset" w:sz="6" w:space="0" w:color="auto"/>
              <w:bottom w:val="outset" w:sz="6" w:space="0" w:color="auto"/>
              <w:right w:val="outset" w:sz="6" w:space="0" w:color="auto"/>
            </w:tcBorders>
            <w:vAlign w:val="center"/>
            <w:hideMark/>
          </w:tcPr>
          <w:p w14:paraId="72AFC169" w14:textId="73A07FB3" w:rsidR="007D37CC" w:rsidRPr="007D37CC" w:rsidRDefault="00777EEE" w:rsidP="00777EEE">
            <w:pPr>
              <w:spacing w:after="0"/>
              <w:rPr>
                <w:rFonts w:ascii="Arial" w:eastAsia="Arial" w:hAnsi="Arial" w:cs="Arial"/>
                <w:kern w:val="0"/>
                <w14:ligatures w14:val="none"/>
              </w:rPr>
            </w:pPr>
            <w:r>
              <w:rPr>
                <w:rFonts w:ascii="Arial" w:hAnsi="Arial" w:cs="Arial"/>
                <w:b/>
                <w:bCs/>
              </w:rPr>
              <w:t>$229,365.32</w:t>
            </w:r>
          </w:p>
        </w:tc>
        <w:tc>
          <w:tcPr>
            <w:tcW w:w="0" w:type="auto"/>
            <w:tcBorders>
              <w:top w:val="outset" w:sz="6" w:space="0" w:color="auto"/>
              <w:left w:val="outset" w:sz="6" w:space="0" w:color="auto"/>
              <w:bottom w:val="outset" w:sz="6" w:space="0" w:color="auto"/>
              <w:right w:val="outset" w:sz="6" w:space="0" w:color="auto"/>
            </w:tcBorders>
            <w:vAlign w:val="center"/>
            <w:hideMark/>
          </w:tcPr>
          <w:p w14:paraId="5B9BC6EA" w14:textId="442DA1D2" w:rsidR="007D37CC" w:rsidRPr="007D37CC" w:rsidRDefault="00DD2E28" w:rsidP="00DD2E28">
            <w:pPr>
              <w:spacing w:after="0"/>
              <w:rPr>
                <w:rFonts w:ascii="Arial" w:eastAsia="Arial" w:hAnsi="Arial" w:cs="Arial"/>
                <w:kern w:val="0"/>
                <w14:ligatures w14:val="none"/>
              </w:rPr>
            </w:pPr>
            <w:r>
              <w:rPr>
                <w:rFonts w:ascii="Arial" w:hAnsi="Arial" w:cs="Arial"/>
                <w:b/>
                <w:bCs/>
                <w:color w:val="1A5C2E"/>
              </w:rPr>
              <w:t>$17,726.52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22ADCE6"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b/>
                <w:bCs/>
                <w:color w:val="1A5C2E"/>
                <w:kern w:val="0"/>
                <w14:ligatures w14:val="none"/>
              </w:rPr>
              <w:t>Favorable</w:t>
            </w:r>
          </w:p>
        </w:tc>
      </w:tr>
    </w:tbl>
    <w:p w14:paraId="75525A59" w14:textId="77777777" w:rsidR="007D37CC" w:rsidRPr="007D37CC" w:rsidRDefault="007D37CC" w:rsidP="007D37CC">
      <w:pPr>
        <w:spacing w:after="0" w:line="240" w:lineRule="auto"/>
        <w:rPr>
          <w:rFonts w:ascii="Arial" w:eastAsia="Arial" w:hAnsi="Arial" w:cs="Arial"/>
        </w:rPr>
      </w:pPr>
    </w:p>
    <w:p w14:paraId="65B41B7A" w14:textId="77777777" w:rsidR="00EC00F0" w:rsidRDefault="007D37CC" w:rsidP="00EC00F0">
      <w:pPr>
        <w:spacing w:before="60" w:after="60" w:line="360" w:lineRule="auto"/>
        <w:rPr>
          <w:rFonts w:ascii="Calibri" w:eastAsia="Arial" w:hAnsi="Calibri" w:cs="Calibri"/>
          <w:color w:val="555555"/>
          <w:spacing w:val="16"/>
          <w:kern w:val="0"/>
          <w:sz w:val="18"/>
          <w:szCs w:val="18"/>
          <w14:ligatures w14:val="none"/>
        </w:rPr>
      </w:pPr>
      <w:r w:rsidRPr="007D37CC">
        <w:rPr>
          <w:rFonts w:ascii="Calibri" w:eastAsia="Arial" w:hAnsi="Calibri" w:cs="Calibri"/>
          <w:color w:val="555555"/>
          <w:spacing w:val="16"/>
          <w:kern w:val="0"/>
          <w:sz w:val="18"/>
          <w:szCs w:val="18"/>
          <w14:ligatures w14:val="none"/>
        </w:rPr>
        <w:t>SECTION 3</w:t>
      </w:r>
    </w:p>
    <w:p w14:paraId="77D2F758" w14:textId="77777777" w:rsidR="002D38D5" w:rsidRPr="002D38D5" w:rsidRDefault="002D38D5" w:rsidP="002D38D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2D38D5">
        <w:rPr>
          <w:rFonts w:ascii="Segoe UI" w:eastAsia="Times New Roman" w:hAnsi="Segoe UI" w:cs="Segoe UI"/>
          <w:b/>
          <w:bCs/>
          <w:kern w:val="36"/>
          <w:sz w:val="48"/>
          <w:szCs w:val="48"/>
          <w14:ligatures w14:val="none"/>
        </w:rPr>
        <w:t>Income &amp; Expense Commentary</w:t>
      </w:r>
    </w:p>
    <w:p w14:paraId="7367E207" w14:textId="441FB93B" w:rsidR="002D38D5" w:rsidRPr="002D38D5" w:rsidRDefault="002D38D5" w:rsidP="002D38D5">
      <w:pPr>
        <w:spacing w:before="100" w:beforeAutospacing="1" w:after="100" w:afterAutospacing="1" w:line="300" w:lineRule="atLeast"/>
        <w:rPr>
          <w:rFonts w:ascii="Segoe UI" w:eastAsia="Times New Roman" w:hAnsi="Segoe UI" w:cs="Segoe UI"/>
          <w:kern w:val="0"/>
          <w:sz w:val="21"/>
          <w:szCs w:val="21"/>
          <w14:ligatures w14:val="none"/>
        </w:rPr>
      </w:pPr>
      <w:r w:rsidRPr="002D38D5">
        <w:rPr>
          <w:rFonts w:ascii="Segoe UI" w:eastAsia="Times New Roman" w:hAnsi="Segoe UI" w:cs="Segoe UI"/>
          <w:kern w:val="0"/>
          <w:sz w:val="21"/>
          <w:szCs w:val="21"/>
          <w14:ligatures w14:val="none"/>
        </w:rPr>
        <w:t xml:space="preserve">The August financial statement uses the format </w:t>
      </w:r>
      <w:r w:rsidRPr="002D38D5">
        <w:rPr>
          <w:rFonts w:ascii="Segoe UI" w:eastAsia="Times New Roman" w:hAnsi="Segoe UI" w:cs="Segoe UI"/>
          <w:b/>
          <w:bCs/>
          <w:kern w:val="0"/>
          <w:sz w:val="21"/>
          <w:szCs w:val="21"/>
          <w14:ligatures w14:val="none"/>
        </w:rPr>
        <w:t>Actual, Budget, Variance</w:t>
      </w:r>
      <w:r w:rsidRPr="002D38D5">
        <w:rPr>
          <w:rFonts w:ascii="Segoe UI" w:eastAsia="Times New Roman" w:hAnsi="Segoe UI" w:cs="Segoe UI"/>
          <w:kern w:val="0"/>
          <w:sz w:val="21"/>
          <w:szCs w:val="21"/>
          <w14:ligatures w14:val="none"/>
        </w:rPr>
        <w:t xml:space="preserve">. On that basis, year-to-date income is unfavorable by approximately </w:t>
      </w:r>
      <w:r w:rsidRPr="002D38D5">
        <w:rPr>
          <w:rFonts w:ascii="Segoe UI" w:eastAsia="Times New Roman" w:hAnsi="Segoe UI" w:cs="Segoe UI"/>
          <w:b/>
          <w:bCs/>
          <w:kern w:val="0"/>
          <w:sz w:val="21"/>
          <w:szCs w:val="21"/>
          <w14:ligatures w14:val="none"/>
        </w:rPr>
        <w:t>$12,965</w:t>
      </w:r>
      <w:r w:rsidRPr="002D38D5">
        <w:rPr>
          <w:rFonts w:ascii="Segoe UI" w:eastAsia="Times New Roman" w:hAnsi="Segoe UI" w:cs="Segoe UI"/>
          <w:kern w:val="0"/>
          <w:sz w:val="21"/>
          <w:szCs w:val="21"/>
          <w14:ligatures w14:val="none"/>
        </w:rPr>
        <w:t xml:space="preserve">. The largest driver is Reserve Interest Income, which shows approximately </w:t>
      </w:r>
      <w:r w:rsidRPr="002D38D5">
        <w:rPr>
          <w:rFonts w:ascii="Segoe UI" w:eastAsia="Times New Roman" w:hAnsi="Segoe UI" w:cs="Segoe UI"/>
          <w:b/>
          <w:bCs/>
          <w:kern w:val="0"/>
          <w:sz w:val="21"/>
          <w:szCs w:val="21"/>
          <w14:ligatures w14:val="none"/>
        </w:rPr>
        <w:t>$2,897 actual</w:t>
      </w:r>
      <w:r w:rsidRPr="002D38D5">
        <w:rPr>
          <w:rFonts w:ascii="Segoe UI" w:eastAsia="Times New Roman" w:hAnsi="Segoe UI" w:cs="Segoe UI"/>
          <w:kern w:val="0"/>
          <w:sz w:val="21"/>
          <w:szCs w:val="21"/>
          <w14:ligatures w14:val="none"/>
        </w:rPr>
        <w:t xml:space="preserve"> compared with a budget of approximately </w:t>
      </w:r>
      <w:r w:rsidRPr="002D38D5">
        <w:rPr>
          <w:rFonts w:ascii="Segoe UI" w:eastAsia="Times New Roman" w:hAnsi="Segoe UI" w:cs="Segoe UI"/>
          <w:b/>
          <w:bCs/>
          <w:kern w:val="0"/>
          <w:sz w:val="21"/>
          <w:szCs w:val="21"/>
          <w14:ligatures w14:val="none"/>
        </w:rPr>
        <w:t>$14,553</w:t>
      </w:r>
      <w:r w:rsidRPr="002D38D5">
        <w:rPr>
          <w:rFonts w:ascii="Segoe UI" w:eastAsia="Times New Roman" w:hAnsi="Segoe UI" w:cs="Segoe UI"/>
          <w:kern w:val="0"/>
          <w:sz w:val="21"/>
          <w:szCs w:val="21"/>
          <w14:ligatures w14:val="none"/>
        </w:rPr>
        <w:t xml:space="preserve">, or </w:t>
      </w:r>
      <w:r w:rsidRPr="002D38D5">
        <w:rPr>
          <w:rFonts w:ascii="Segoe UI" w:eastAsia="Times New Roman" w:hAnsi="Segoe UI" w:cs="Segoe UI"/>
          <w:kern w:val="0"/>
          <w:sz w:val="21"/>
          <w:szCs w:val="21"/>
          <w14:ligatures w14:val="none"/>
        </w:rPr>
        <w:lastRenderedPageBreak/>
        <w:t xml:space="preserve">approximately </w:t>
      </w:r>
      <w:r w:rsidRPr="002D38D5">
        <w:rPr>
          <w:rFonts w:ascii="Segoe UI" w:eastAsia="Times New Roman" w:hAnsi="Segoe UI" w:cs="Segoe UI"/>
          <w:b/>
          <w:bCs/>
          <w:kern w:val="0"/>
          <w:sz w:val="21"/>
          <w:szCs w:val="21"/>
          <w14:ligatures w14:val="none"/>
        </w:rPr>
        <w:t>$11,656 unfavorable</w:t>
      </w:r>
      <w:r w:rsidRPr="002D38D5">
        <w:rPr>
          <w:rFonts w:ascii="Segoe UI" w:eastAsia="Times New Roman" w:hAnsi="Segoe UI" w:cs="Segoe UI"/>
          <w:kern w:val="0"/>
          <w:sz w:val="21"/>
          <w:szCs w:val="21"/>
          <w14:ligatures w14:val="none"/>
        </w:rPr>
        <w:t xml:space="preserve">. Because reserve interest is commonly affected by investment maturity dates and how interest is recorded before maturity, this unfavorable variance appears to be primarily timing-related rather than a recurring operating issue. </w:t>
      </w:r>
    </w:p>
    <w:p w14:paraId="73571882" w14:textId="0CF8CE09" w:rsidR="002D38D5" w:rsidRPr="002D38D5" w:rsidRDefault="002D38D5" w:rsidP="002D38D5">
      <w:pPr>
        <w:spacing w:before="100" w:beforeAutospacing="1" w:after="100" w:afterAutospacing="1" w:line="300" w:lineRule="atLeast"/>
        <w:rPr>
          <w:rFonts w:ascii="Segoe UI" w:eastAsia="Times New Roman" w:hAnsi="Segoe UI" w:cs="Segoe UI"/>
          <w:kern w:val="0"/>
          <w:sz w:val="21"/>
          <w:szCs w:val="21"/>
          <w14:ligatures w14:val="none"/>
        </w:rPr>
      </w:pPr>
      <w:r w:rsidRPr="002D38D5">
        <w:rPr>
          <w:rFonts w:ascii="Segoe UI" w:eastAsia="Times New Roman" w:hAnsi="Segoe UI" w:cs="Segoe UI"/>
          <w:kern w:val="0"/>
          <w:sz w:val="21"/>
          <w:szCs w:val="21"/>
          <w14:ligatures w14:val="none"/>
        </w:rPr>
        <w:t xml:space="preserve">Maintenance fees are below budget by approximately </w:t>
      </w:r>
      <w:r w:rsidRPr="002D38D5">
        <w:rPr>
          <w:rFonts w:ascii="Segoe UI" w:eastAsia="Times New Roman" w:hAnsi="Segoe UI" w:cs="Segoe UI"/>
          <w:b/>
          <w:bCs/>
          <w:kern w:val="0"/>
          <w:sz w:val="21"/>
          <w:szCs w:val="21"/>
          <w14:ligatures w14:val="none"/>
        </w:rPr>
        <w:t>$2,389 year-to-date</w:t>
      </w:r>
      <w:r w:rsidRPr="002D38D5">
        <w:rPr>
          <w:rFonts w:ascii="Segoe UI" w:eastAsia="Times New Roman" w:hAnsi="Segoe UI" w:cs="Segoe UI"/>
          <w:kern w:val="0"/>
          <w:sz w:val="21"/>
          <w:szCs w:val="21"/>
          <w14:ligatures w14:val="none"/>
        </w:rPr>
        <w:t xml:space="preserve">. Accounts Receivable totaled approximately </w:t>
      </w:r>
      <w:r w:rsidRPr="002D38D5">
        <w:rPr>
          <w:rFonts w:ascii="Segoe UI" w:eastAsia="Times New Roman" w:hAnsi="Segoe UI" w:cs="Segoe UI"/>
          <w:b/>
          <w:bCs/>
          <w:kern w:val="0"/>
          <w:sz w:val="21"/>
          <w:szCs w:val="21"/>
          <w14:ligatures w14:val="none"/>
        </w:rPr>
        <w:t>$21,899</w:t>
      </w:r>
      <w:r w:rsidRPr="002D38D5">
        <w:rPr>
          <w:rFonts w:ascii="Segoe UI" w:eastAsia="Times New Roman" w:hAnsi="Segoe UI" w:cs="Segoe UI"/>
          <w:kern w:val="0"/>
          <w:sz w:val="21"/>
          <w:szCs w:val="21"/>
          <w14:ligatures w14:val="none"/>
        </w:rPr>
        <w:t xml:space="preserve"> as of August 31, 2026, consisting primarily of owner assessment delinquencies. Of that total, approximately </w:t>
      </w:r>
      <w:r w:rsidRPr="002D38D5">
        <w:rPr>
          <w:rFonts w:ascii="Segoe UI" w:eastAsia="Times New Roman" w:hAnsi="Segoe UI" w:cs="Segoe UI"/>
          <w:b/>
          <w:bCs/>
          <w:kern w:val="0"/>
          <w:sz w:val="21"/>
          <w:szCs w:val="21"/>
          <w14:ligatures w14:val="none"/>
        </w:rPr>
        <w:t>$12,427 (57%)</w:t>
      </w:r>
      <w:r w:rsidRPr="002D38D5">
        <w:rPr>
          <w:rFonts w:ascii="Segoe UI" w:eastAsia="Times New Roman" w:hAnsi="Segoe UI" w:cs="Segoe UI"/>
          <w:kern w:val="0"/>
          <w:sz w:val="21"/>
          <w:szCs w:val="21"/>
          <w14:ligatures w14:val="none"/>
        </w:rPr>
        <w:t xml:space="preserve"> is more than 90 days past due, approximately </w:t>
      </w:r>
      <w:r w:rsidRPr="002D38D5">
        <w:rPr>
          <w:rFonts w:ascii="Segoe UI" w:eastAsia="Times New Roman" w:hAnsi="Segoe UI" w:cs="Segoe UI"/>
          <w:b/>
          <w:bCs/>
          <w:kern w:val="0"/>
          <w:sz w:val="21"/>
          <w:szCs w:val="21"/>
          <w14:ligatures w14:val="none"/>
        </w:rPr>
        <w:t>$2,708</w:t>
      </w:r>
      <w:r w:rsidRPr="002D38D5">
        <w:rPr>
          <w:rFonts w:ascii="Segoe UI" w:eastAsia="Times New Roman" w:hAnsi="Segoe UI" w:cs="Segoe UI"/>
          <w:kern w:val="0"/>
          <w:sz w:val="21"/>
          <w:szCs w:val="21"/>
          <w14:ligatures w14:val="none"/>
        </w:rPr>
        <w:t xml:space="preserve"> is between 60 and 90 days past due, approximately </w:t>
      </w:r>
      <w:r w:rsidRPr="002D38D5">
        <w:rPr>
          <w:rFonts w:ascii="Segoe UI" w:eastAsia="Times New Roman" w:hAnsi="Segoe UI" w:cs="Segoe UI"/>
          <w:b/>
          <w:bCs/>
          <w:kern w:val="0"/>
          <w:sz w:val="21"/>
          <w:szCs w:val="21"/>
          <w14:ligatures w14:val="none"/>
        </w:rPr>
        <w:t>$1,140</w:t>
      </w:r>
      <w:r w:rsidRPr="002D38D5">
        <w:rPr>
          <w:rFonts w:ascii="Segoe UI" w:eastAsia="Times New Roman" w:hAnsi="Segoe UI" w:cs="Segoe UI"/>
          <w:kern w:val="0"/>
          <w:sz w:val="21"/>
          <w:szCs w:val="21"/>
          <w14:ligatures w14:val="none"/>
        </w:rPr>
        <w:t xml:space="preserve"> is between 30 and 60 days past due, and approximately </w:t>
      </w:r>
      <w:r w:rsidRPr="002D38D5">
        <w:rPr>
          <w:rFonts w:ascii="Segoe UI" w:eastAsia="Times New Roman" w:hAnsi="Segoe UI" w:cs="Segoe UI"/>
          <w:b/>
          <w:bCs/>
          <w:kern w:val="0"/>
          <w:sz w:val="21"/>
          <w:szCs w:val="21"/>
          <w14:ligatures w14:val="none"/>
        </w:rPr>
        <w:t>$5,624</w:t>
      </w:r>
      <w:r w:rsidRPr="002D38D5">
        <w:rPr>
          <w:rFonts w:ascii="Segoe UI" w:eastAsia="Times New Roman" w:hAnsi="Segoe UI" w:cs="Segoe UI"/>
          <w:kern w:val="0"/>
          <w:sz w:val="21"/>
          <w:szCs w:val="21"/>
          <w14:ligatures w14:val="none"/>
        </w:rPr>
        <w:t xml:space="preserve"> is less than 30 days past due. While the Accounts Receivable balance is significant, it should not be </w:t>
      </w:r>
      <w:proofErr w:type="gramStart"/>
      <w:r w:rsidRPr="002D38D5">
        <w:rPr>
          <w:rFonts w:ascii="Segoe UI" w:eastAsia="Times New Roman" w:hAnsi="Segoe UI" w:cs="Segoe UI"/>
          <w:kern w:val="0"/>
          <w:sz w:val="21"/>
          <w:szCs w:val="21"/>
          <w14:ligatures w14:val="none"/>
        </w:rPr>
        <w:t>confused</w:t>
      </w:r>
      <w:proofErr w:type="gramEnd"/>
      <w:r w:rsidRPr="002D38D5">
        <w:rPr>
          <w:rFonts w:ascii="Segoe UI" w:eastAsia="Times New Roman" w:hAnsi="Segoe UI" w:cs="Segoe UI"/>
          <w:kern w:val="0"/>
          <w:sz w:val="21"/>
          <w:szCs w:val="21"/>
          <w14:ligatures w14:val="none"/>
        </w:rPr>
        <w:t xml:space="preserve"> with the </w:t>
      </w:r>
      <w:proofErr w:type="gramStart"/>
      <w:r w:rsidRPr="002D38D5">
        <w:rPr>
          <w:rFonts w:ascii="Segoe UI" w:eastAsia="Times New Roman" w:hAnsi="Segoe UI" w:cs="Segoe UI"/>
          <w:kern w:val="0"/>
          <w:sz w:val="21"/>
          <w:szCs w:val="21"/>
          <w14:ligatures w14:val="none"/>
        </w:rPr>
        <w:t>maintenance-fee</w:t>
      </w:r>
      <w:proofErr w:type="gramEnd"/>
      <w:r w:rsidRPr="002D38D5">
        <w:rPr>
          <w:rFonts w:ascii="Segoe UI" w:eastAsia="Times New Roman" w:hAnsi="Segoe UI" w:cs="Segoe UI"/>
          <w:kern w:val="0"/>
          <w:sz w:val="21"/>
          <w:szCs w:val="21"/>
          <w14:ligatures w14:val="none"/>
        </w:rPr>
        <w:t xml:space="preserve"> budget variance. The budget variance reflects the difference between maintenance-fee revenue collected year-to-date and the amount budgeted for the same period, whereas Accounts Receivable represents the total amount owed by homeowners at a specific point in time, including balances that may have accumulated over multiple billing periods and prior years. As a result, the Association can have a relatively small maintenance-fee revenue variance while simultaneously carrying a much larger Accounts Receivable balance. The concentration of delinquent balances in the 90-plus-day category indicates that a significant portion of receivables is attributable to long-term owner arrears rather than normal payment timing. The Board should continue monitoring collection activities and delinquent accounts. However, the reported income shortfall continues to be driven primarily by the reserve interest timing variance rather than </w:t>
      </w:r>
      <w:proofErr w:type="gramStart"/>
      <w:r w:rsidRPr="002D38D5">
        <w:rPr>
          <w:rFonts w:ascii="Segoe UI" w:eastAsia="Times New Roman" w:hAnsi="Segoe UI" w:cs="Segoe UI"/>
          <w:kern w:val="0"/>
          <w:sz w:val="21"/>
          <w:szCs w:val="21"/>
          <w14:ligatures w14:val="none"/>
        </w:rPr>
        <w:t>maintenance-fee</w:t>
      </w:r>
      <w:proofErr w:type="gramEnd"/>
      <w:r w:rsidRPr="002D38D5">
        <w:rPr>
          <w:rFonts w:ascii="Segoe UI" w:eastAsia="Times New Roman" w:hAnsi="Segoe UI" w:cs="Segoe UI"/>
          <w:kern w:val="0"/>
          <w:sz w:val="21"/>
          <w:szCs w:val="21"/>
          <w14:ligatures w14:val="none"/>
        </w:rPr>
        <w:t xml:space="preserve"> revenue. </w:t>
      </w:r>
    </w:p>
    <w:p w14:paraId="6F5417B4" w14:textId="77777777" w:rsidR="002D38D5" w:rsidRPr="002D38D5" w:rsidRDefault="002D38D5" w:rsidP="002D38D5">
      <w:pPr>
        <w:spacing w:before="100" w:beforeAutospacing="1" w:after="100" w:afterAutospacing="1" w:line="300" w:lineRule="atLeast"/>
        <w:rPr>
          <w:rFonts w:ascii="Segoe UI" w:eastAsia="Times New Roman" w:hAnsi="Segoe UI" w:cs="Segoe UI"/>
          <w:kern w:val="0"/>
          <w:sz w:val="21"/>
          <w:szCs w:val="21"/>
          <w14:ligatures w14:val="none"/>
        </w:rPr>
      </w:pPr>
      <w:r w:rsidRPr="002D38D5">
        <w:rPr>
          <w:rFonts w:ascii="Segoe UI" w:eastAsia="Times New Roman" w:hAnsi="Segoe UI" w:cs="Segoe UI"/>
          <w:kern w:val="0"/>
          <w:sz w:val="21"/>
          <w:szCs w:val="21"/>
          <w14:ligatures w14:val="none"/>
        </w:rPr>
        <w:t xml:space="preserve">Expense performance through August is favorable overall. Grounds </w:t>
      </w:r>
      <w:proofErr w:type="gramStart"/>
      <w:r w:rsidRPr="002D38D5">
        <w:rPr>
          <w:rFonts w:ascii="Segoe UI" w:eastAsia="Times New Roman" w:hAnsi="Segoe UI" w:cs="Segoe UI"/>
          <w:kern w:val="0"/>
          <w:sz w:val="21"/>
          <w:szCs w:val="21"/>
          <w14:ligatures w14:val="none"/>
        </w:rPr>
        <w:t>is</w:t>
      </w:r>
      <w:proofErr w:type="gramEnd"/>
      <w:r w:rsidRPr="002D38D5">
        <w:rPr>
          <w:rFonts w:ascii="Segoe UI" w:eastAsia="Times New Roman" w:hAnsi="Segoe UI" w:cs="Segoe UI"/>
          <w:kern w:val="0"/>
          <w:sz w:val="21"/>
          <w:szCs w:val="21"/>
          <w14:ligatures w14:val="none"/>
        </w:rPr>
        <w:t xml:space="preserve"> approximately </w:t>
      </w:r>
      <w:r w:rsidRPr="002D38D5">
        <w:rPr>
          <w:rFonts w:ascii="Segoe UI" w:eastAsia="Times New Roman" w:hAnsi="Segoe UI" w:cs="Segoe UI"/>
          <w:b/>
          <w:bCs/>
          <w:kern w:val="0"/>
          <w:sz w:val="21"/>
          <w:szCs w:val="21"/>
          <w14:ligatures w14:val="none"/>
        </w:rPr>
        <w:t>$32,674 under budget</w:t>
      </w:r>
      <w:r w:rsidRPr="002D38D5">
        <w:rPr>
          <w:rFonts w:ascii="Segoe UI" w:eastAsia="Times New Roman" w:hAnsi="Segoe UI" w:cs="Segoe UI"/>
          <w:kern w:val="0"/>
          <w:sz w:val="21"/>
          <w:szCs w:val="21"/>
          <w14:ligatures w14:val="none"/>
        </w:rPr>
        <w:t xml:space="preserve">, which more than offsets the administrative overage of approximately </w:t>
      </w:r>
      <w:r w:rsidRPr="002D38D5">
        <w:rPr>
          <w:rFonts w:ascii="Segoe UI" w:eastAsia="Times New Roman" w:hAnsi="Segoe UI" w:cs="Segoe UI"/>
          <w:b/>
          <w:bCs/>
          <w:kern w:val="0"/>
          <w:sz w:val="21"/>
          <w:szCs w:val="21"/>
          <w14:ligatures w14:val="none"/>
        </w:rPr>
        <w:t>$18,227</w:t>
      </w:r>
      <w:r w:rsidRPr="002D38D5">
        <w:rPr>
          <w:rFonts w:ascii="Segoe UI" w:eastAsia="Times New Roman" w:hAnsi="Segoe UI" w:cs="Segoe UI"/>
          <w:kern w:val="0"/>
          <w:sz w:val="21"/>
          <w:szCs w:val="21"/>
          <w14:ligatures w14:val="none"/>
        </w:rPr>
        <w:t xml:space="preserve">. </w:t>
      </w:r>
      <w:proofErr w:type="gramStart"/>
      <w:r w:rsidRPr="002D38D5">
        <w:rPr>
          <w:rFonts w:ascii="Segoe UI" w:eastAsia="Times New Roman" w:hAnsi="Segoe UI" w:cs="Segoe UI"/>
          <w:kern w:val="0"/>
          <w:sz w:val="21"/>
          <w:szCs w:val="21"/>
          <w14:ligatures w14:val="none"/>
        </w:rPr>
        <w:t>The administrative</w:t>
      </w:r>
      <w:proofErr w:type="gramEnd"/>
      <w:r w:rsidRPr="002D38D5">
        <w:rPr>
          <w:rFonts w:ascii="Segoe UI" w:eastAsia="Times New Roman" w:hAnsi="Segoe UI" w:cs="Segoe UI"/>
          <w:kern w:val="0"/>
          <w:sz w:val="21"/>
          <w:szCs w:val="21"/>
          <w14:ligatures w14:val="none"/>
        </w:rPr>
        <w:t xml:space="preserve"> overage continues to be driven primarily by insurance, income tax, management-related costs, and other administrative expenses. Pool and recreation, repairs and maintenance, and utilities are also favorable or near budget. These favorable expense results more than offset the unfavorable income variance, leaving the Association with positive year-to-date net income of approximately </w:t>
      </w:r>
      <w:r w:rsidRPr="002D38D5">
        <w:rPr>
          <w:rFonts w:ascii="Segoe UI" w:eastAsia="Times New Roman" w:hAnsi="Segoe UI" w:cs="Segoe UI"/>
          <w:b/>
          <w:bCs/>
          <w:kern w:val="0"/>
          <w:sz w:val="21"/>
          <w:szCs w:val="21"/>
          <w14:ligatures w14:val="none"/>
        </w:rPr>
        <w:t>$4,761</w:t>
      </w:r>
      <w:r w:rsidRPr="002D38D5">
        <w:rPr>
          <w:rFonts w:ascii="Segoe UI" w:eastAsia="Times New Roman" w:hAnsi="Segoe UI" w:cs="Segoe UI"/>
          <w:kern w:val="0"/>
          <w:sz w:val="21"/>
          <w:szCs w:val="21"/>
          <w14:ligatures w14:val="none"/>
        </w:rPr>
        <w:t>.</w:t>
      </w:r>
    </w:p>
    <w:p w14:paraId="5DB09FAE" w14:textId="77777777" w:rsidR="00EC00F0" w:rsidRDefault="007D37CC" w:rsidP="00AC0A51">
      <w:pPr>
        <w:spacing w:before="60" w:after="60" w:line="360" w:lineRule="auto"/>
        <w:rPr>
          <w:rFonts w:ascii="Calibri" w:eastAsia="Arial" w:hAnsi="Calibri" w:cs="Calibri"/>
          <w:color w:val="555555"/>
          <w:spacing w:val="16"/>
          <w:kern w:val="0"/>
          <w:sz w:val="18"/>
          <w:szCs w:val="18"/>
          <w14:ligatures w14:val="none"/>
        </w:rPr>
      </w:pPr>
      <w:r w:rsidRPr="007D37CC">
        <w:rPr>
          <w:rFonts w:ascii="Calibri" w:eastAsia="Arial" w:hAnsi="Calibri" w:cs="Calibri"/>
          <w:color w:val="555555"/>
          <w:spacing w:val="16"/>
          <w:kern w:val="0"/>
          <w:sz w:val="18"/>
          <w:szCs w:val="18"/>
          <w14:ligatures w14:val="none"/>
        </w:rPr>
        <w:t>SECTION 4</w:t>
      </w:r>
    </w:p>
    <w:p w14:paraId="6F710A33" w14:textId="2A280E12" w:rsidR="007D37CC" w:rsidRPr="007D37CC" w:rsidRDefault="007D37CC" w:rsidP="00AC0A51">
      <w:pPr>
        <w:spacing w:before="60" w:after="60" w:line="360" w:lineRule="auto"/>
        <w:rPr>
          <w:rFonts w:ascii="Arial" w:eastAsia="Arial" w:hAnsi="Arial" w:cs="Arial"/>
          <w:b/>
          <w:bCs/>
          <w:color w:val="000000"/>
          <w:kern w:val="36"/>
          <w:sz w:val="48"/>
          <w:szCs w:val="48"/>
        </w:rPr>
      </w:pPr>
      <w:r w:rsidRPr="007D37CC">
        <w:rPr>
          <w:rFonts w:ascii="Calibri" w:eastAsia="Arial" w:hAnsi="Calibri" w:cs="Calibri"/>
          <w:b/>
          <w:bCs/>
          <w:color w:val="1A3A5C"/>
          <w:kern w:val="0"/>
          <w:sz w:val="40"/>
          <w:szCs w:val="40"/>
          <w14:ligatures w14:val="none"/>
        </w:rPr>
        <w:t>Reserve Budget Status</w:t>
      </w:r>
    </w:p>
    <w:p w14:paraId="088309B2" w14:textId="77777777" w:rsidR="00994C27" w:rsidRPr="007D37CC" w:rsidRDefault="00040C55">
      <w:pPr>
        <w:spacing w:before="60" w:after="240" w:line="360" w:lineRule="auto"/>
      </w:pPr>
      <w:r w:rsidRPr="007D37CC">
        <w:rPr>
          <w:rFonts w:ascii="Calibri" w:eastAsia="Arial" w:hAnsi="Calibri" w:cs="Calibri"/>
          <w:color w:val="000000"/>
          <w:kern w:val="0"/>
          <w:sz w:val="22"/>
          <w:szCs w:val="22"/>
          <w14:ligatures w14:val="none"/>
        </w:rPr>
        <w:t xml:space="preserve">Total reserves as of </w:t>
      </w:r>
      <w:r w:rsidR="00E339F3">
        <w:rPr>
          <w:rFonts w:ascii="Calibri" w:hAnsi="Calibri" w:cs="Calibri"/>
          <w:color w:val="000000"/>
          <w:sz w:val="22"/>
          <w:szCs w:val="22"/>
        </w:rPr>
        <w:t>August</w:t>
      </w:r>
      <w:r w:rsidRPr="007D37CC">
        <w:rPr>
          <w:rFonts w:ascii="Calibri" w:eastAsia="Arial" w:hAnsi="Calibri" w:cs="Calibri"/>
          <w:color w:val="000000"/>
          <w:kern w:val="0"/>
          <w:sz w:val="22"/>
          <w:szCs w:val="22"/>
          <w14:ligatures w14:val="none"/>
        </w:rPr>
        <w:t xml:space="preserve"> 31, </w:t>
      </w:r>
      <w:proofErr w:type="gramStart"/>
      <w:r w:rsidRPr="007D37CC">
        <w:rPr>
          <w:rFonts w:ascii="Calibri" w:eastAsia="Arial" w:hAnsi="Calibri" w:cs="Calibri"/>
          <w:color w:val="000000"/>
          <w:kern w:val="0"/>
          <w:sz w:val="22"/>
          <w:szCs w:val="22"/>
          <w14:ligatures w14:val="none"/>
        </w:rPr>
        <w:t>2026</w:t>
      </w:r>
      <w:proofErr w:type="gramEnd"/>
      <w:r w:rsidRPr="007D37CC">
        <w:rPr>
          <w:rFonts w:ascii="Calibri" w:eastAsia="Arial" w:hAnsi="Calibri" w:cs="Calibri"/>
          <w:color w:val="000000"/>
          <w:kern w:val="0"/>
          <w:sz w:val="22"/>
          <w:szCs w:val="22"/>
          <w14:ligatures w14:val="none"/>
        </w:rPr>
        <w:t xml:space="preserve"> were approximately </w:t>
      </w:r>
      <w:r w:rsidRPr="007D37CC">
        <w:rPr>
          <w:rFonts w:ascii="Calibri" w:eastAsia="Arial" w:hAnsi="Calibri" w:cs="Calibri"/>
          <w:b/>
          <w:bCs/>
          <w:color w:val="000000"/>
          <w:kern w:val="0"/>
          <w:sz w:val="22"/>
          <w:szCs w:val="22"/>
          <w14:ligatures w14:val="none"/>
        </w:rPr>
        <w:t>$</w:t>
      </w:r>
      <w:r w:rsidR="00E339F3">
        <w:rPr>
          <w:rFonts w:ascii="Calibri" w:hAnsi="Calibri" w:cs="Calibri"/>
          <w:b/>
          <w:bCs/>
          <w:color w:val="000000"/>
          <w:sz w:val="22"/>
          <w:szCs w:val="22"/>
        </w:rPr>
        <w:t>367,463</w:t>
      </w:r>
      <w:r w:rsidR="00E339F3">
        <w:rPr>
          <w:rFonts w:ascii="Calibri" w:hAnsi="Calibri" w:cs="Calibri"/>
          <w:color w:val="000000"/>
          <w:sz w:val="22"/>
          <w:szCs w:val="22"/>
        </w:rPr>
        <w:t>.</w:t>
      </w:r>
      <w:r w:rsidRPr="007D37CC">
        <w:rPr>
          <w:rFonts w:ascii="Calibri" w:eastAsia="Arial" w:hAnsi="Calibri" w:cs="Calibri"/>
          <w:color w:val="000000"/>
          <w:kern w:val="0"/>
          <w:sz w:val="22"/>
          <w:szCs w:val="22"/>
          <w14:ligatures w14:val="none"/>
        </w:rPr>
        <w:t xml:space="preserve"> The reserve schedule shows beginning reserves of approximately </w:t>
      </w:r>
      <w:r w:rsidRPr="007D37CC">
        <w:rPr>
          <w:rFonts w:ascii="Calibri" w:eastAsia="Arial" w:hAnsi="Calibri" w:cs="Calibri"/>
          <w:b/>
          <w:bCs/>
          <w:color w:val="000000"/>
          <w:kern w:val="0"/>
          <w:sz w:val="22"/>
          <w:szCs w:val="22"/>
          <w14:ligatures w14:val="none"/>
        </w:rPr>
        <w:t>$354,962</w:t>
      </w:r>
      <w:r w:rsidRPr="007D37CC">
        <w:rPr>
          <w:rFonts w:ascii="Calibri" w:eastAsia="Arial" w:hAnsi="Calibri" w:cs="Calibri"/>
          <w:color w:val="000000"/>
          <w:kern w:val="0"/>
          <w:sz w:val="22"/>
          <w:szCs w:val="22"/>
          <w14:ligatures w14:val="none"/>
        </w:rPr>
        <w:t xml:space="preserve">, year-to-date contributions of approximately </w:t>
      </w:r>
      <w:r w:rsidRPr="007D37CC">
        <w:rPr>
          <w:rFonts w:ascii="Calibri" w:eastAsia="Arial" w:hAnsi="Calibri" w:cs="Calibri"/>
          <w:b/>
          <w:bCs/>
          <w:color w:val="000000"/>
          <w:kern w:val="0"/>
          <w:sz w:val="22"/>
          <w:szCs w:val="22"/>
          <w14:ligatures w14:val="none"/>
        </w:rPr>
        <w:t>$</w:t>
      </w:r>
      <w:r w:rsidR="00E339F3">
        <w:rPr>
          <w:rFonts w:ascii="Calibri" w:hAnsi="Calibri" w:cs="Calibri"/>
          <w:b/>
          <w:bCs/>
          <w:color w:val="000000"/>
          <w:sz w:val="22"/>
          <w:szCs w:val="22"/>
        </w:rPr>
        <w:t>17,311</w:t>
      </w:r>
      <w:r w:rsidRPr="007D37CC">
        <w:rPr>
          <w:rFonts w:ascii="Calibri" w:eastAsia="Arial" w:hAnsi="Calibri" w:cs="Calibri"/>
          <w:color w:val="000000"/>
          <w:kern w:val="0"/>
          <w:sz w:val="22"/>
          <w:szCs w:val="22"/>
          <w14:ligatures w14:val="none"/>
        </w:rPr>
        <w:t xml:space="preserve">, year-to-date allocations of approximately </w:t>
      </w:r>
      <w:r w:rsidRPr="007D37CC">
        <w:rPr>
          <w:rFonts w:ascii="Calibri" w:eastAsia="Arial" w:hAnsi="Calibri" w:cs="Calibri"/>
          <w:b/>
          <w:bCs/>
          <w:color w:val="000000"/>
          <w:kern w:val="0"/>
          <w:sz w:val="22"/>
          <w:szCs w:val="22"/>
          <w14:ligatures w14:val="none"/>
        </w:rPr>
        <w:t>$13,985</w:t>
      </w:r>
      <w:r w:rsidRPr="007D37CC">
        <w:rPr>
          <w:rFonts w:ascii="Calibri" w:eastAsia="Arial" w:hAnsi="Calibri" w:cs="Calibri"/>
          <w:color w:val="000000"/>
          <w:kern w:val="0"/>
          <w:sz w:val="22"/>
          <w:szCs w:val="22"/>
          <w14:ligatures w14:val="none"/>
        </w:rPr>
        <w:t xml:space="preserve">, year-to-date reserve expenses of approximately </w:t>
      </w:r>
      <w:r w:rsidRPr="007D37CC">
        <w:rPr>
          <w:rFonts w:ascii="Calibri" w:eastAsia="Arial" w:hAnsi="Calibri" w:cs="Calibri"/>
          <w:b/>
          <w:bCs/>
          <w:color w:val="000000"/>
          <w:kern w:val="0"/>
          <w:sz w:val="22"/>
          <w:szCs w:val="22"/>
          <w14:ligatures w14:val="none"/>
        </w:rPr>
        <w:t>$21,493</w:t>
      </w:r>
      <w:r w:rsidRPr="007D37CC">
        <w:rPr>
          <w:rFonts w:ascii="Calibri" w:eastAsia="Arial" w:hAnsi="Calibri" w:cs="Calibri"/>
          <w:color w:val="000000"/>
          <w:kern w:val="0"/>
          <w:sz w:val="22"/>
          <w:szCs w:val="22"/>
          <w14:ligatures w14:val="none"/>
        </w:rPr>
        <w:t xml:space="preserve">, and year-to-date interest of approximately </w:t>
      </w:r>
      <w:r w:rsidRPr="007D37CC">
        <w:rPr>
          <w:rFonts w:ascii="Calibri" w:eastAsia="Arial" w:hAnsi="Calibri" w:cs="Calibri"/>
          <w:b/>
          <w:bCs/>
          <w:color w:val="000000"/>
          <w:kern w:val="0"/>
          <w:sz w:val="22"/>
          <w:szCs w:val="22"/>
          <w14:ligatures w14:val="none"/>
        </w:rPr>
        <w:t>$2,</w:t>
      </w:r>
      <w:r w:rsidR="00E339F3">
        <w:rPr>
          <w:rFonts w:ascii="Calibri" w:hAnsi="Calibri" w:cs="Calibri"/>
          <w:b/>
          <w:bCs/>
          <w:color w:val="000000"/>
          <w:sz w:val="22"/>
          <w:szCs w:val="22"/>
        </w:rPr>
        <w:t>698</w:t>
      </w:r>
      <w:r w:rsidRPr="007D37CC">
        <w:rPr>
          <w:rFonts w:ascii="Calibri" w:eastAsia="Arial" w:hAnsi="Calibri" w:cs="Calibri"/>
          <w:color w:val="000000"/>
          <w:kern w:val="0"/>
          <w:sz w:val="22"/>
          <w:szCs w:val="22"/>
          <w14:ligatures w14:val="none"/>
        </w:rPr>
        <w:t>.</w:t>
      </w:r>
    </w:p>
    <w:p w14:paraId="572C179A" w14:textId="77777777" w:rsidR="00994C27" w:rsidRPr="007D37CC" w:rsidRDefault="00040C55">
      <w:pPr>
        <w:spacing w:before="60" w:after="240" w:line="360" w:lineRule="auto"/>
      </w:pPr>
      <w:r w:rsidRPr="007D37CC">
        <w:rPr>
          <w:rFonts w:ascii="Calibri" w:eastAsia="Arial" w:hAnsi="Calibri" w:cs="Calibri"/>
          <w:color w:val="000000"/>
          <w:kern w:val="0"/>
          <w:sz w:val="22"/>
          <w:szCs w:val="22"/>
          <w14:ligatures w14:val="none"/>
        </w:rPr>
        <w:t xml:space="preserve">The </w:t>
      </w:r>
      <w:r w:rsidR="00D81271">
        <w:rPr>
          <w:rFonts w:ascii="Calibri" w:hAnsi="Calibri" w:cs="Calibri"/>
          <w:color w:val="000000"/>
          <w:sz w:val="22"/>
          <w:szCs w:val="22"/>
        </w:rPr>
        <w:t>August</w:t>
      </w:r>
      <w:r w:rsidRPr="007D37CC">
        <w:rPr>
          <w:rFonts w:ascii="Calibri" w:eastAsia="Arial" w:hAnsi="Calibri" w:cs="Calibri"/>
          <w:color w:val="000000"/>
          <w:kern w:val="0"/>
          <w:sz w:val="22"/>
          <w:szCs w:val="22"/>
          <w14:ligatures w14:val="none"/>
        </w:rPr>
        <w:t xml:space="preserve"> reserve activity </w:t>
      </w:r>
      <w:r w:rsidR="00D81271">
        <w:rPr>
          <w:rFonts w:ascii="Calibri" w:hAnsi="Calibri" w:cs="Calibri"/>
          <w:color w:val="000000"/>
          <w:sz w:val="22"/>
          <w:szCs w:val="22"/>
        </w:rPr>
        <w:t>continues to reflect the</w:t>
      </w:r>
      <w:r w:rsidRPr="007D37CC">
        <w:rPr>
          <w:rFonts w:ascii="Calibri" w:eastAsia="Arial" w:hAnsi="Calibri" w:cs="Calibri"/>
          <w:color w:val="000000"/>
          <w:kern w:val="0"/>
          <w:sz w:val="22"/>
          <w:szCs w:val="22"/>
          <w14:ligatures w14:val="none"/>
        </w:rPr>
        <w:t xml:space="preserve"> planned draw of approximately </w:t>
      </w:r>
      <w:r w:rsidRPr="007D37CC">
        <w:rPr>
          <w:rFonts w:ascii="Calibri" w:eastAsia="Arial" w:hAnsi="Calibri" w:cs="Calibri"/>
          <w:b/>
          <w:bCs/>
          <w:color w:val="000000"/>
          <w:kern w:val="0"/>
          <w:sz w:val="22"/>
          <w:szCs w:val="22"/>
          <w14:ligatures w14:val="none"/>
        </w:rPr>
        <w:t>$21,493</w:t>
      </w:r>
      <w:r w:rsidRPr="007D37CC">
        <w:rPr>
          <w:rFonts w:ascii="Calibri" w:eastAsia="Arial" w:hAnsi="Calibri" w:cs="Calibri"/>
          <w:color w:val="000000"/>
          <w:kern w:val="0"/>
          <w:sz w:val="22"/>
          <w:szCs w:val="22"/>
          <w14:ligatures w14:val="none"/>
        </w:rPr>
        <w:t xml:space="preserve"> from the Irrigation Pumps reserve for the Twin Palm Landscape new pump installation</w:t>
      </w:r>
      <w:r w:rsidR="00D81271">
        <w:rPr>
          <w:rFonts w:ascii="Calibri" w:hAnsi="Calibri" w:cs="Calibri"/>
          <w:color w:val="000000"/>
          <w:sz w:val="22"/>
          <w:szCs w:val="22"/>
        </w:rPr>
        <w:t xml:space="preserve"> recorded earlier in 2026.</w:t>
      </w:r>
      <w:r w:rsidRPr="007D37CC">
        <w:rPr>
          <w:rFonts w:ascii="Calibri" w:eastAsia="Arial" w:hAnsi="Calibri" w:cs="Calibri"/>
          <w:color w:val="000000"/>
          <w:kern w:val="0"/>
          <w:sz w:val="22"/>
          <w:szCs w:val="22"/>
          <w14:ligatures w14:val="none"/>
        </w:rPr>
        <w:t xml:space="preserve"> No </w:t>
      </w:r>
      <w:r w:rsidR="00D81271">
        <w:rPr>
          <w:rFonts w:ascii="Calibri" w:hAnsi="Calibri" w:cs="Calibri"/>
          <w:color w:val="000000"/>
          <w:sz w:val="22"/>
          <w:szCs w:val="22"/>
        </w:rPr>
        <w:t>additional</w:t>
      </w:r>
      <w:r w:rsidRPr="007D37CC">
        <w:rPr>
          <w:rFonts w:ascii="Calibri" w:eastAsia="Arial" w:hAnsi="Calibri" w:cs="Calibri"/>
          <w:color w:val="000000"/>
          <w:kern w:val="0"/>
          <w:sz w:val="22"/>
          <w:szCs w:val="22"/>
          <w14:ligatures w14:val="none"/>
        </w:rPr>
        <w:t xml:space="preserve"> reserve </w:t>
      </w:r>
      <w:r w:rsidR="00D81271">
        <w:rPr>
          <w:rFonts w:ascii="Calibri" w:hAnsi="Calibri" w:cs="Calibri"/>
          <w:color w:val="000000"/>
          <w:sz w:val="22"/>
          <w:szCs w:val="22"/>
        </w:rPr>
        <w:t>expenses</w:t>
      </w:r>
      <w:r w:rsidRPr="007D37CC">
        <w:rPr>
          <w:rFonts w:ascii="Calibri" w:eastAsia="Arial" w:hAnsi="Calibri" w:cs="Calibri"/>
          <w:color w:val="000000"/>
          <w:kern w:val="0"/>
          <w:sz w:val="22"/>
          <w:szCs w:val="22"/>
          <w14:ligatures w14:val="none"/>
        </w:rPr>
        <w:t xml:space="preserve"> were identified </w:t>
      </w:r>
      <w:r w:rsidR="00D81271">
        <w:rPr>
          <w:rFonts w:ascii="Calibri" w:hAnsi="Calibri" w:cs="Calibri"/>
          <w:color w:val="000000"/>
          <w:sz w:val="22"/>
          <w:szCs w:val="22"/>
        </w:rPr>
        <w:t>in</w:t>
      </w:r>
      <w:r w:rsidRPr="007D37CC">
        <w:rPr>
          <w:rFonts w:ascii="Calibri" w:eastAsia="Arial" w:hAnsi="Calibri" w:cs="Calibri"/>
          <w:color w:val="000000"/>
          <w:kern w:val="0"/>
          <w:sz w:val="22"/>
          <w:szCs w:val="22"/>
          <w14:ligatures w14:val="none"/>
        </w:rPr>
        <w:t xml:space="preserve"> the </w:t>
      </w:r>
      <w:r w:rsidR="00D81271">
        <w:rPr>
          <w:rFonts w:ascii="Calibri" w:hAnsi="Calibri" w:cs="Calibri"/>
          <w:color w:val="000000"/>
          <w:sz w:val="22"/>
          <w:szCs w:val="22"/>
        </w:rPr>
        <w:t>August</w:t>
      </w:r>
      <w:r w:rsidRPr="007D37CC">
        <w:rPr>
          <w:rFonts w:ascii="Calibri" w:eastAsia="Arial" w:hAnsi="Calibri" w:cs="Calibri"/>
          <w:color w:val="000000"/>
          <w:kern w:val="0"/>
          <w:sz w:val="22"/>
          <w:szCs w:val="22"/>
          <w14:ligatures w14:val="none"/>
        </w:rPr>
        <w:t xml:space="preserve"> data provided.</w:t>
      </w:r>
      <w:r w:rsidR="00D81271">
        <w:rPr>
          <w:rFonts w:ascii="Calibri" w:hAnsi="Calibri" w:cs="Calibri"/>
          <w:color w:val="000000"/>
          <w:sz w:val="22"/>
          <w:szCs w:val="22"/>
        </w:rPr>
        <w:t xml:space="preserve"> Reserve balances remain substantial, with the largest balances held in Irrigation Valves, Irrigation Pipes/Wiring, Catastrophic Event, Landscape Replacement, Insurance Deductible, and Reserve Interest.</w:t>
      </w:r>
    </w:p>
    <w:p w14:paraId="59791736" w14:textId="77777777" w:rsidR="00EC00F0" w:rsidRDefault="007D37CC" w:rsidP="00EC00F0">
      <w:pPr>
        <w:spacing w:before="60" w:after="60" w:line="360" w:lineRule="auto"/>
        <w:rPr>
          <w:rFonts w:ascii="Calibri" w:eastAsia="Arial" w:hAnsi="Calibri" w:cs="Calibri"/>
          <w:color w:val="555555"/>
          <w:spacing w:val="16"/>
          <w:kern w:val="0"/>
          <w:sz w:val="18"/>
          <w:szCs w:val="18"/>
          <w14:ligatures w14:val="none"/>
        </w:rPr>
      </w:pPr>
      <w:r w:rsidRPr="007D37CC">
        <w:rPr>
          <w:rFonts w:ascii="Calibri" w:eastAsia="Arial" w:hAnsi="Calibri" w:cs="Calibri"/>
          <w:color w:val="555555"/>
          <w:spacing w:val="16"/>
          <w:kern w:val="0"/>
          <w:sz w:val="18"/>
          <w:szCs w:val="18"/>
          <w14:ligatures w14:val="none"/>
        </w:rPr>
        <w:lastRenderedPageBreak/>
        <w:t>SECTION 5</w:t>
      </w:r>
    </w:p>
    <w:p w14:paraId="3E77B0E7" w14:textId="77777777" w:rsidR="006C43E1" w:rsidRPr="006C43E1" w:rsidRDefault="006C43E1" w:rsidP="006C43E1">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6C43E1">
        <w:rPr>
          <w:rFonts w:ascii="Segoe UI" w:eastAsia="Times New Roman" w:hAnsi="Segoe UI" w:cs="Segoe UI"/>
          <w:b/>
          <w:bCs/>
          <w:kern w:val="0"/>
          <w:sz w:val="36"/>
          <w:szCs w:val="36"/>
          <w14:ligatures w14:val="none"/>
        </w:rPr>
        <w:t>Treasurer's Closing Note</w:t>
      </w:r>
    </w:p>
    <w:p w14:paraId="62B8D92B" w14:textId="77777777" w:rsidR="002D38D5" w:rsidRPr="002D38D5" w:rsidRDefault="002D38D5" w:rsidP="002D38D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2D38D5">
        <w:rPr>
          <w:rFonts w:ascii="Segoe UI" w:eastAsia="Times New Roman" w:hAnsi="Segoe UI" w:cs="Segoe UI"/>
          <w:b/>
          <w:bCs/>
          <w:kern w:val="36"/>
          <w:sz w:val="48"/>
          <w:szCs w:val="48"/>
          <w14:ligatures w14:val="none"/>
        </w:rPr>
        <w:t>Treasurer's Closing Note</w:t>
      </w:r>
    </w:p>
    <w:p w14:paraId="68704506" w14:textId="1395F077" w:rsidR="002D38D5" w:rsidRPr="002D38D5" w:rsidRDefault="002D38D5" w:rsidP="002D38D5">
      <w:pPr>
        <w:spacing w:before="100" w:beforeAutospacing="1" w:after="100" w:afterAutospacing="1" w:line="300" w:lineRule="atLeast"/>
        <w:rPr>
          <w:rFonts w:ascii="Segoe UI" w:eastAsia="Times New Roman" w:hAnsi="Segoe UI" w:cs="Segoe UI"/>
          <w:kern w:val="0"/>
          <w:sz w:val="21"/>
          <w:szCs w:val="21"/>
          <w14:ligatures w14:val="none"/>
        </w:rPr>
      </w:pPr>
      <w:r w:rsidRPr="002D38D5">
        <w:rPr>
          <w:rFonts w:ascii="Segoe UI" w:eastAsia="Times New Roman" w:hAnsi="Segoe UI" w:cs="Segoe UI"/>
          <w:kern w:val="0"/>
          <w:sz w:val="21"/>
          <w:szCs w:val="21"/>
          <w14:ligatures w14:val="none"/>
        </w:rPr>
        <w:t xml:space="preserve">Through August, the Association remains in a stable financial position with </w:t>
      </w:r>
      <w:r w:rsidRPr="002D38D5">
        <w:rPr>
          <w:rFonts w:ascii="Segoe UI" w:eastAsia="Times New Roman" w:hAnsi="Segoe UI" w:cs="Segoe UI"/>
          <w:b/>
          <w:bCs/>
          <w:kern w:val="0"/>
          <w:sz w:val="21"/>
          <w:szCs w:val="21"/>
          <w14:ligatures w14:val="none"/>
        </w:rPr>
        <w:t>year-to-date net income of approximately $4,761</w:t>
      </w:r>
      <w:r w:rsidRPr="002D38D5">
        <w:rPr>
          <w:rFonts w:ascii="Segoe UI" w:eastAsia="Times New Roman" w:hAnsi="Segoe UI" w:cs="Segoe UI"/>
          <w:kern w:val="0"/>
          <w:sz w:val="21"/>
          <w:szCs w:val="21"/>
          <w14:ligatures w14:val="none"/>
        </w:rPr>
        <w:t xml:space="preserve">. The income variance is unfavorable, but it continues to be primarily attributable to reserve interest timing rather than a direct operating spending issue. Expense savings, especially in Grounds, Repairs and Maintenance, and Utilities, more than offset the income variance. The Board should continue monitoring reserve interest recognition, accounts receivable, owner arrears, and collection activity, particularly those accounts more than 90 days delinquent, as well as administrative expenses during the remainder of the year. </w:t>
      </w:r>
    </w:p>
    <w:p w14:paraId="3614E16E" w14:textId="77777777" w:rsidR="002D38D5" w:rsidRPr="002D38D5" w:rsidRDefault="002D38D5" w:rsidP="002D38D5">
      <w:pPr>
        <w:spacing w:before="100" w:beforeAutospacing="1" w:after="100" w:afterAutospacing="1" w:line="300" w:lineRule="atLeast"/>
        <w:rPr>
          <w:rFonts w:ascii="Segoe UI" w:eastAsia="Times New Roman" w:hAnsi="Segoe UI" w:cs="Segoe UI"/>
          <w:kern w:val="0"/>
          <w:sz w:val="21"/>
          <w:szCs w:val="21"/>
          <w14:ligatures w14:val="none"/>
        </w:rPr>
      </w:pPr>
      <w:r w:rsidRPr="002D38D5">
        <w:rPr>
          <w:rFonts w:ascii="Segoe UI" w:eastAsia="Times New Roman" w:hAnsi="Segoe UI" w:cs="Segoe UI"/>
          <w:kern w:val="0"/>
          <w:sz w:val="21"/>
          <w:szCs w:val="21"/>
          <w14:ligatures w14:val="none"/>
        </w:rPr>
        <w:t>Respectfully submitted,</w:t>
      </w:r>
    </w:p>
    <w:p w14:paraId="5A19022A" w14:textId="77777777" w:rsidR="002D38D5" w:rsidRPr="002D38D5" w:rsidRDefault="002D38D5" w:rsidP="002D38D5">
      <w:pPr>
        <w:spacing w:before="100" w:beforeAutospacing="1" w:after="100" w:afterAutospacing="1" w:line="300" w:lineRule="atLeast"/>
        <w:rPr>
          <w:rFonts w:ascii="Segoe UI" w:eastAsia="Times New Roman" w:hAnsi="Segoe UI" w:cs="Segoe UI"/>
          <w:kern w:val="0"/>
          <w:sz w:val="21"/>
          <w:szCs w:val="21"/>
          <w14:ligatures w14:val="none"/>
        </w:rPr>
      </w:pPr>
      <w:r w:rsidRPr="002D38D5">
        <w:rPr>
          <w:rFonts w:ascii="Segoe UI" w:eastAsia="Times New Roman" w:hAnsi="Segoe UI" w:cs="Segoe UI"/>
          <w:b/>
          <w:bCs/>
          <w:kern w:val="0"/>
          <w:sz w:val="21"/>
          <w:szCs w:val="21"/>
          <w14:ligatures w14:val="none"/>
        </w:rPr>
        <w:t>Bill Davis</w:t>
      </w:r>
    </w:p>
    <w:p w14:paraId="0C74F0DC" w14:textId="77777777" w:rsidR="002D38D5" w:rsidRPr="002D38D5" w:rsidRDefault="002D38D5" w:rsidP="002D38D5">
      <w:pPr>
        <w:spacing w:before="100" w:beforeAutospacing="1" w:after="100" w:afterAutospacing="1" w:line="300" w:lineRule="atLeast"/>
        <w:rPr>
          <w:rFonts w:ascii="Segoe UI" w:eastAsia="Times New Roman" w:hAnsi="Segoe UI" w:cs="Segoe UI"/>
          <w:kern w:val="0"/>
          <w:sz w:val="21"/>
          <w:szCs w:val="21"/>
          <w14:ligatures w14:val="none"/>
        </w:rPr>
      </w:pPr>
      <w:r w:rsidRPr="002D38D5">
        <w:rPr>
          <w:rFonts w:ascii="Segoe UI" w:eastAsia="Times New Roman" w:hAnsi="Segoe UI" w:cs="Segoe UI"/>
          <w:kern w:val="0"/>
          <w:sz w:val="21"/>
          <w:szCs w:val="21"/>
          <w14:ligatures w14:val="none"/>
        </w:rPr>
        <w:t>Treasurer, Patio Homes of Chestnut Creek Homeowners Association</w:t>
      </w:r>
    </w:p>
    <w:p w14:paraId="7D48D51A" w14:textId="77777777" w:rsidR="002D38D5" w:rsidRPr="002D38D5" w:rsidRDefault="002D38D5" w:rsidP="002D38D5">
      <w:pPr>
        <w:spacing w:before="100" w:beforeAutospacing="1" w:after="100" w:afterAutospacing="1" w:line="300" w:lineRule="atLeast"/>
        <w:rPr>
          <w:rFonts w:ascii="Segoe UI" w:eastAsia="Times New Roman" w:hAnsi="Segoe UI" w:cs="Segoe UI"/>
          <w:kern w:val="0"/>
          <w:sz w:val="21"/>
          <w:szCs w:val="21"/>
          <w14:ligatures w14:val="none"/>
        </w:rPr>
      </w:pPr>
      <w:r w:rsidRPr="002D38D5">
        <w:rPr>
          <w:rFonts w:ascii="Segoe UI" w:eastAsia="Times New Roman" w:hAnsi="Segoe UI" w:cs="Segoe UI"/>
          <w:b/>
          <w:bCs/>
          <w:kern w:val="0"/>
          <w:sz w:val="21"/>
          <w:szCs w:val="21"/>
          <w14:ligatures w14:val="none"/>
        </w:rPr>
        <w:t>Date: September 2026</w:t>
      </w:r>
    </w:p>
    <w:p w14:paraId="1976BEB0" w14:textId="77777777" w:rsidR="007D37CC" w:rsidRPr="007D37CC" w:rsidRDefault="007D37CC" w:rsidP="007D37CC">
      <w:pPr>
        <w:spacing w:after="0" w:line="240" w:lineRule="auto"/>
        <w:rPr>
          <w:rFonts w:ascii="Arial" w:eastAsia="Arial" w:hAnsi="Arial" w:cs="Arial"/>
          <w:kern w:val="0"/>
          <w14:ligatures w14:val="none"/>
        </w:rPr>
      </w:pPr>
    </w:p>
    <w:p w14:paraId="6CCD8D2F" w14:textId="77777777" w:rsidR="00994C27" w:rsidRPr="007D37CC" w:rsidRDefault="00994C27" w:rsidP="007D37CC"/>
    <w:sectPr w:rsidR="00994C27" w:rsidRPr="007D37CC" w:rsidSect="007D37CC">
      <w:pgSz w:w="12240" w:h="15840"/>
      <w:pgMar w:top="1080" w:right="1440" w:bottom="108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331"/>
    <w:rsid w:val="00000B22"/>
    <w:rsid w:val="000053B0"/>
    <w:rsid w:val="000065C9"/>
    <w:rsid w:val="00082F35"/>
    <w:rsid w:val="000A07B7"/>
    <w:rsid w:val="000C4604"/>
    <w:rsid w:val="000D75B9"/>
    <w:rsid w:val="000E3C21"/>
    <w:rsid w:val="001101AC"/>
    <w:rsid w:val="00191B09"/>
    <w:rsid w:val="00194307"/>
    <w:rsid w:val="001B1185"/>
    <w:rsid w:val="001D27E2"/>
    <w:rsid w:val="00277015"/>
    <w:rsid w:val="002D362F"/>
    <w:rsid w:val="002D38D5"/>
    <w:rsid w:val="002E0EF6"/>
    <w:rsid w:val="003B5991"/>
    <w:rsid w:val="003E50CF"/>
    <w:rsid w:val="003F5091"/>
    <w:rsid w:val="00420949"/>
    <w:rsid w:val="00421B94"/>
    <w:rsid w:val="004678E5"/>
    <w:rsid w:val="004D5F88"/>
    <w:rsid w:val="0051346B"/>
    <w:rsid w:val="00532604"/>
    <w:rsid w:val="0054616F"/>
    <w:rsid w:val="005C2331"/>
    <w:rsid w:val="005C72C9"/>
    <w:rsid w:val="006409B0"/>
    <w:rsid w:val="006C43E1"/>
    <w:rsid w:val="007257DB"/>
    <w:rsid w:val="00734840"/>
    <w:rsid w:val="00777EEE"/>
    <w:rsid w:val="00784785"/>
    <w:rsid w:val="0079282B"/>
    <w:rsid w:val="007D37CC"/>
    <w:rsid w:val="008C5C76"/>
    <w:rsid w:val="008D5F8A"/>
    <w:rsid w:val="0099176C"/>
    <w:rsid w:val="00994C27"/>
    <w:rsid w:val="009A7A52"/>
    <w:rsid w:val="009B74F7"/>
    <w:rsid w:val="00A2595D"/>
    <w:rsid w:val="00A31DF0"/>
    <w:rsid w:val="00A53064"/>
    <w:rsid w:val="00A56C5C"/>
    <w:rsid w:val="00A57376"/>
    <w:rsid w:val="00A75CDE"/>
    <w:rsid w:val="00AC0A51"/>
    <w:rsid w:val="00B42C53"/>
    <w:rsid w:val="00C41163"/>
    <w:rsid w:val="00C53D0E"/>
    <w:rsid w:val="00CA286C"/>
    <w:rsid w:val="00D07662"/>
    <w:rsid w:val="00D62E28"/>
    <w:rsid w:val="00D81271"/>
    <w:rsid w:val="00DC1C87"/>
    <w:rsid w:val="00DD2E28"/>
    <w:rsid w:val="00E339F3"/>
    <w:rsid w:val="00EC00F0"/>
    <w:rsid w:val="00F87604"/>
    <w:rsid w:val="00FB2C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C6337"/>
  <w15:chartTrackingRefBased/>
  <w15:docId w15:val="{37082180-BD53-4D6A-BDE8-A0A573E5A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23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23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23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23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23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23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23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23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23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23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23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23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23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23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23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23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23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2331"/>
    <w:rPr>
      <w:rFonts w:eastAsiaTheme="majorEastAsia" w:cstheme="majorBidi"/>
      <w:color w:val="272727" w:themeColor="text1" w:themeTint="D8"/>
    </w:rPr>
  </w:style>
  <w:style w:type="paragraph" w:styleId="Title">
    <w:name w:val="Title"/>
    <w:basedOn w:val="Normal"/>
    <w:next w:val="Normal"/>
    <w:link w:val="TitleChar"/>
    <w:uiPriority w:val="10"/>
    <w:qFormat/>
    <w:rsid w:val="005C23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23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23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23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2331"/>
    <w:pPr>
      <w:spacing w:before="160"/>
      <w:jc w:val="center"/>
    </w:pPr>
    <w:rPr>
      <w:i/>
      <w:iCs/>
      <w:color w:val="404040" w:themeColor="text1" w:themeTint="BF"/>
    </w:rPr>
  </w:style>
  <w:style w:type="character" w:customStyle="1" w:styleId="QuoteChar">
    <w:name w:val="Quote Char"/>
    <w:basedOn w:val="DefaultParagraphFont"/>
    <w:link w:val="Quote"/>
    <w:uiPriority w:val="29"/>
    <w:rsid w:val="005C2331"/>
    <w:rPr>
      <w:i/>
      <w:iCs/>
      <w:color w:val="404040" w:themeColor="text1" w:themeTint="BF"/>
    </w:rPr>
  </w:style>
  <w:style w:type="paragraph" w:styleId="ListParagraph">
    <w:name w:val="List Paragraph"/>
    <w:basedOn w:val="Normal"/>
    <w:uiPriority w:val="34"/>
    <w:qFormat/>
    <w:rsid w:val="005C2331"/>
    <w:pPr>
      <w:ind w:left="720"/>
      <w:contextualSpacing/>
    </w:pPr>
  </w:style>
  <w:style w:type="character" w:styleId="IntenseEmphasis">
    <w:name w:val="Intense Emphasis"/>
    <w:basedOn w:val="DefaultParagraphFont"/>
    <w:uiPriority w:val="21"/>
    <w:qFormat/>
    <w:rsid w:val="005C2331"/>
    <w:rPr>
      <w:i/>
      <w:iCs/>
      <w:color w:val="0F4761" w:themeColor="accent1" w:themeShade="BF"/>
    </w:rPr>
  </w:style>
  <w:style w:type="paragraph" w:styleId="IntenseQuote">
    <w:name w:val="Intense Quote"/>
    <w:basedOn w:val="Normal"/>
    <w:next w:val="Normal"/>
    <w:link w:val="IntenseQuoteChar"/>
    <w:uiPriority w:val="30"/>
    <w:qFormat/>
    <w:rsid w:val="005C23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2331"/>
    <w:rPr>
      <w:i/>
      <w:iCs/>
      <w:color w:val="0F4761" w:themeColor="accent1" w:themeShade="BF"/>
    </w:rPr>
  </w:style>
  <w:style w:type="character" w:styleId="IntenseReference">
    <w:name w:val="Intense Reference"/>
    <w:basedOn w:val="DefaultParagraphFont"/>
    <w:uiPriority w:val="32"/>
    <w:qFormat/>
    <w:rsid w:val="005C2331"/>
    <w:rPr>
      <w:b/>
      <w:bCs/>
      <w:smallCaps/>
      <w:color w:val="0F4761" w:themeColor="accent1" w:themeShade="BF"/>
      <w:spacing w:val="5"/>
    </w:rPr>
  </w:style>
  <w:style w:type="character" w:styleId="BookTitle">
    <w:name w:val="Book Title"/>
    <w:basedOn w:val="DefaultParagraphFont"/>
    <w:uiPriority w:val="33"/>
    <w:qFormat/>
    <w:rsid w:val="00D07662"/>
    <w:rPr>
      <w:b/>
      <w:bCs/>
      <w:i/>
      <w:iCs/>
      <w:spacing w:val="5"/>
    </w:rPr>
  </w:style>
  <w:style w:type="paragraph" w:styleId="Caption">
    <w:name w:val="caption"/>
    <w:basedOn w:val="Normal"/>
    <w:next w:val="Normal"/>
    <w:uiPriority w:val="35"/>
    <w:semiHidden/>
    <w:unhideWhenUsed/>
    <w:qFormat/>
    <w:rsid w:val="00D07662"/>
    <w:pPr>
      <w:spacing w:after="200" w:line="240" w:lineRule="auto"/>
    </w:pPr>
    <w:rPr>
      <w:i/>
      <w:iCs/>
      <w:color w:val="0E2841" w:themeColor="text2"/>
      <w:sz w:val="18"/>
      <w:szCs w:val="18"/>
    </w:rPr>
  </w:style>
  <w:style w:type="character" w:styleId="Emphasis">
    <w:name w:val="Emphasis"/>
    <w:basedOn w:val="DefaultParagraphFont"/>
    <w:uiPriority w:val="20"/>
    <w:qFormat/>
    <w:rsid w:val="00D07662"/>
    <w:rPr>
      <w:i/>
      <w:iCs/>
    </w:rPr>
  </w:style>
  <w:style w:type="paragraph" w:styleId="NoSpacing">
    <w:name w:val="No Spacing"/>
    <w:uiPriority w:val="1"/>
    <w:qFormat/>
    <w:rsid w:val="00D07662"/>
    <w:pPr>
      <w:spacing w:after="0" w:line="240" w:lineRule="auto"/>
    </w:pPr>
  </w:style>
  <w:style w:type="character" w:styleId="Strong">
    <w:name w:val="Strong"/>
    <w:basedOn w:val="DefaultParagraphFont"/>
    <w:uiPriority w:val="22"/>
    <w:qFormat/>
    <w:rsid w:val="00D07662"/>
    <w:rPr>
      <w:b/>
      <w:bCs/>
    </w:rPr>
  </w:style>
  <w:style w:type="character" w:styleId="SubtleEmphasis">
    <w:name w:val="Subtle Emphasis"/>
    <w:basedOn w:val="DefaultParagraphFont"/>
    <w:uiPriority w:val="19"/>
    <w:qFormat/>
    <w:rsid w:val="00D07662"/>
    <w:rPr>
      <w:i/>
      <w:iCs/>
      <w:color w:val="404040" w:themeColor="text1" w:themeTint="BF"/>
    </w:rPr>
  </w:style>
  <w:style w:type="character" w:styleId="SubtleReference">
    <w:name w:val="Subtle Reference"/>
    <w:basedOn w:val="DefaultParagraphFont"/>
    <w:uiPriority w:val="31"/>
    <w:qFormat/>
    <w:rsid w:val="00D07662"/>
    <w:rPr>
      <w:smallCaps/>
      <w:color w:val="5A5A5A" w:themeColor="text1" w:themeTint="A5"/>
    </w:rPr>
  </w:style>
  <w:style w:type="paragraph" w:styleId="TOCHeading">
    <w:name w:val="TOC Heading"/>
    <w:basedOn w:val="Heading1"/>
    <w:next w:val="Normal"/>
    <w:uiPriority w:val="39"/>
    <w:semiHidden/>
    <w:unhideWhenUsed/>
    <w:qFormat/>
    <w:rsid w:val="00D07662"/>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4</Pages>
  <Words>1232</Words>
  <Characters>7029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davis</dc:creator>
  <cp:keywords/>
  <dc:description/>
  <cp:lastModifiedBy>william davis</cp:lastModifiedBy>
  <cp:revision>2</cp:revision>
  <dcterms:created xsi:type="dcterms:W3CDTF">2026-09-09T16:48:00Z</dcterms:created>
  <dcterms:modified xsi:type="dcterms:W3CDTF">2026-09-09T16:48:00Z</dcterms:modified>
</cp:coreProperties>
</file>