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6B471" w14:textId="77777777" w:rsidR="007D37CC" w:rsidRPr="00AC0A51" w:rsidRDefault="007D37CC" w:rsidP="00AC0A51">
      <w:pPr>
        <w:spacing w:after="80" w:line="360" w:lineRule="auto"/>
        <w:jc w:val="center"/>
        <w:rPr>
          <w:rFonts w:ascii="Arial" w:eastAsia="Arial" w:hAnsi="Arial" w:cs="Arial"/>
          <w:sz w:val="36"/>
          <w:szCs w:val="36"/>
        </w:rPr>
      </w:pPr>
      <w:r w:rsidRPr="00AC0A51">
        <w:rPr>
          <w:rFonts w:ascii="Calibri" w:eastAsia="Arial" w:hAnsi="Calibri" w:cs="Calibri"/>
          <w:b/>
          <w:bCs/>
          <w:color w:val="000000"/>
          <w:spacing w:val="10"/>
          <w:kern w:val="0"/>
          <w:sz w:val="36"/>
          <w:szCs w:val="36"/>
          <w14:ligatures w14:val="none"/>
        </w:rPr>
        <w:t>Patio Homes of Chestnut Creek Homeowners Association</w:t>
      </w:r>
    </w:p>
    <w:p w14:paraId="7F55191B" w14:textId="77777777" w:rsidR="007D37CC" w:rsidRPr="00AC0A51" w:rsidRDefault="007D37CC" w:rsidP="00AC0A51">
      <w:pPr>
        <w:spacing w:after="80" w:line="360" w:lineRule="auto"/>
        <w:jc w:val="center"/>
        <w:rPr>
          <w:rFonts w:ascii="Arial" w:eastAsia="Arial" w:hAnsi="Arial" w:cs="Arial"/>
          <w:sz w:val="36"/>
          <w:szCs w:val="36"/>
        </w:rPr>
      </w:pPr>
      <w:r w:rsidRPr="00AC0A51">
        <w:rPr>
          <w:rFonts w:ascii="Calibri" w:eastAsia="Arial" w:hAnsi="Calibri" w:cs="Calibri"/>
          <w:b/>
          <w:bCs/>
          <w:color w:val="000000"/>
          <w:kern w:val="0"/>
          <w:sz w:val="36"/>
          <w:szCs w:val="36"/>
          <w14:ligatures w14:val="none"/>
        </w:rPr>
        <w:t>Treasurer's Report</w:t>
      </w:r>
    </w:p>
    <w:p w14:paraId="7EB11AA3" w14:textId="77777777" w:rsidR="007D37CC" w:rsidRPr="007D37CC" w:rsidRDefault="007D37CC" w:rsidP="007D37CC">
      <w:pPr>
        <w:spacing w:after="6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For the Period Ending July 31, </w:t>
      </w:r>
      <w:proofErr w:type="gramStart"/>
      <w:r w:rsidRPr="007D37CC">
        <w:rPr>
          <w:rFonts w:ascii="Calibri" w:eastAsia="Arial" w:hAnsi="Calibri" w:cs="Calibri"/>
          <w:color w:val="000000"/>
          <w:kern w:val="0"/>
          <w:sz w:val="22"/>
          <w:szCs w:val="22"/>
          <w14:ligatures w14:val="none"/>
        </w:rPr>
        <w:t>2026  |</w:t>
      </w:r>
      <w:proofErr w:type="gramEnd"/>
      <w:r w:rsidRPr="007D37CC">
        <w:rPr>
          <w:rFonts w:ascii="Calibri" w:eastAsia="Arial" w:hAnsi="Calibri" w:cs="Calibri"/>
          <w:color w:val="000000"/>
          <w:kern w:val="0"/>
          <w:sz w:val="22"/>
          <w:szCs w:val="22"/>
          <w14:ligatures w14:val="none"/>
        </w:rPr>
        <w:t xml:space="preserve">  Monthly Financial Summary</w:t>
      </w:r>
    </w:p>
    <w:tbl>
      <w:tblPr>
        <w:tblW w:w="5000" w:type="pct"/>
        <w:tblCellMar>
          <w:left w:w="0" w:type="dxa"/>
          <w:right w:w="0" w:type="dxa"/>
        </w:tblCellMar>
        <w:tblLook w:val="04A0" w:firstRow="1" w:lastRow="0" w:firstColumn="1" w:lastColumn="0" w:noHBand="0" w:noVBand="1"/>
      </w:tblPr>
      <w:tblGrid>
        <w:gridCol w:w="1308"/>
        <w:gridCol w:w="5046"/>
        <w:gridCol w:w="1215"/>
        <w:gridCol w:w="1775"/>
      </w:tblGrid>
      <w:tr w:rsidR="007D37CC" w:rsidRPr="007D37CC" w14:paraId="637FEA90" w14:textId="77777777" w:rsidTr="008148EE">
        <w:tc>
          <w:tcPr>
            <w:tcW w:w="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6B57ECE7" w14:textId="77777777" w:rsidR="007D37CC" w:rsidRPr="007D37CC" w:rsidRDefault="007D37CC" w:rsidP="007D37CC">
            <w:pPr>
              <w:spacing w:after="0" w:line="240" w:lineRule="auto"/>
              <w:rPr>
                <w:rFonts w:ascii="Arial" w:eastAsia="Arial" w:hAnsi="Arial" w:cs="Arial"/>
              </w:rPr>
            </w:pPr>
            <w:r w:rsidRPr="007D37CC">
              <w:rPr>
                <w:rFonts w:ascii="Calibri" w:eastAsia="Arial" w:hAnsi="Calibri" w:cs="Calibri"/>
                <w:color w:val="333333"/>
                <w:kern w:val="0"/>
                <w:sz w:val="20"/>
                <w:szCs w:val="20"/>
                <w14:ligatures w14:val="none"/>
              </w:rPr>
              <w:t>Prepared By:</w:t>
            </w:r>
          </w:p>
        </w:tc>
        <w:tc>
          <w:tcPr>
            <w:tcW w:w="2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27284657"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Bill Davis</w:t>
            </w:r>
          </w:p>
        </w:tc>
        <w:tc>
          <w:tcPr>
            <w:tcW w:w="6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4F1F4B2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Report Date:</w:t>
            </w:r>
          </w:p>
        </w:tc>
        <w:tc>
          <w:tcPr>
            <w:tcW w:w="9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7E92DEF2"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August 2026</w:t>
            </w:r>
          </w:p>
        </w:tc>
      </w:tr>
      <w:tr w:rsidR="007D37CC" w:rsidRPr="007D37CC" w14:paraId="62202395" w14:textId="77777777" w:rsidTr="008148EE">
        <w:tc>
          <w:tcPr>
            <w:tcW w:w="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3D5691DF"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Reporting Period:</w:t>
            </w:r>
          </w:p>
        </w:tc>
        <w:tc>
          <w:tcPr>
            <w:tcW w:w="2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3D26DFA5"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January 1, 2026 – July 31, 2026</w:t>
            </w:r>
          </w:p>
        </w:tc>
        <w:tc>
          <w:tcPr>
            <w:tcW w:w="6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175E894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Distributed To:</w:t>
            </w:r>
          </w:p>
        </w:tc>
        <w:tc>
          <w:tcPr>
            <w:tcW w:w="95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20C5DF9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Residents &amp; Board of Directors</w:t>
            </w:r>
          </w:p>
        </w:tc>
      </w:tr>
      <w:tr w:rsidR="007D37CC" w:rsidRPr="007D37CC" w14:paraId="52B16100" w14:textId="77777777" w:rsidTr="008148EE">
        <w:tc>
          <w:tcPr>
            <w:tcW w:w="700" w:type="pct"/>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06020903"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Source:</w:t>
            </w:r>
          </w:p>
        </w:tc>
        <w:tc>
          <w:tcPr>
            <w:tcW w:w="0" w:type="auto"/>
            <w:gridSpan w:val="3"/>
            <w:tcBorders>
              <w:top w:val="outset" w:sz="6" w:space="0" w:color="auto"/>
              <w:left w:val="outset" w:sz="6" w:space="0" w:color="auto"/>
              <w:bottom w:val="outset" w:sz="6" w:space="0" w:color="auto"/>
              <w:right w:val="outset" w:sz="6" w:space="0" w:color="auto"/>
            </w:tcBorders>
            <w:tcMar>
              <w:top w:w="90" w:type="dxa"/>
              <w:left w:w="135" w:type="dxa"/>
              <w:bottom w:w="90" w:type="dxa"/>
              <w:right w:w="135" w:type="dxa"/>
            </w:tcMar>
            <w:hideMark/>
          </w:tcPr>
          <w:p w14:paraId="17207190"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color w:val="333333"/>
                <w:kern w:val="0"/>
                <w:sz w:val="20"/>
                <w:szCs w:val="20"/>
                <w14:ligatures w14:val="none"/>
              </w:rPr>
              <w:t xml:space="preserve">Based on </w:t>
            </w:r>
            <w:proofErr w:type="gramStart"/>
            <w:r w:rsidRPr="007D37CC">
              <w:rPr>
                <w:rFonts w:ascii="Calibri" w:eastAsia="Arial" w:hAnsi="Calibri" w:cs="Calibri"/>
                <w:color w:val="333333"/>
                <w:kern w:val="0"/>
                <w:sz w:val="20"/>
                <w:szCs w:val="20"/>
                <w14:ligatures w14:val="none"/>
              </w:rPr>
              <w:t>the July</w:t>
            </w:r>
            <w:proofErr w:type="gramEnd"/>
            <w:r w:rsidRPr="007D37CC">
              <w:rPr>
                <w:rFonts w:ascii="Calibri" w:eastAsia="Arial" w:hAnsi="Calibri" w:cs="Calibri"/>
                <w:color w:val="333333"/>
                <w:kern w:val="0"/>
                <w:sz w:val="20"/>
                <w:szCs w:val="20"/>
                <w14:ligatures w14:val="none"/>
              </w:rPr>
              <w:t xml:space="preserve"> 31, </w:t>
            </w:r>
            <w:proofErr w:type="gramStart"/>
            <w:r w:rsidRPr="007D37CC">
              <w:rPr>
                <w:rFonts w:ascii="Calibri" w:eastAsia="Arial" w:hAnsi="Calibri" w:cs="Calibri"/>
                <w:color w:val="333333"/>
                <w:kern w:val="0"/>
                <w:sz w:val="20"/>
                <w:szCs w:val="20"/>
                <w14:ligatures w14:val="none"/>
              </w:rPr>
              <w:t>2026</w:t>
            </w:r>
            <w:proofErr w:type="gramEnd"/>
            <w:r w:rsidRPr="007D37CC">
              <w:rPr>
                <w:rFonts w:ascii="Calibri" w:eastAsia="Arial" w:hAnsi="Calibri" w:cs="Calibri"/>
                <w:color w:val="333333"/>
                <w:kern w:val="0"/>
                <w:sz w:val="20"/>
                <w:szCs w:val="20"/>
                <w14:ligatures w14:val="none"/>
              </w:rPr>
              <w:t xml:space="preserve"> Financial Report available to all residents at </w:t>
            </w:r>
            <w:r w:rsidRPr="007D37CC">
              <w:rPr>
                <w:rFonts w:ascii="Calibri" w:eastAsia="Arial" w:hAnsi="Calibri" w:cs="Calibri"/>
                <w:b/>
                <w:bCs/>
                <w:color w:val="000000"/>
                <w:kern w:val="0"/>
                <w:sz w:val="22"/>
                <w:szCs w:val="22"/>
                <w14:ligatures w14:val="none"/>
              </w:rPr>
              <w:t>thepatioschestnutcreek.com</w:t>
            </w:r>
            <w:r w:rsidRPr="007D37CC">
              <w:rPr>
                <w:rFonts w:ascii="Calibri" w:eastAsia="Arial" w:hAnsi="Calibri" w:cs="Calibri"/>
                <w:color w:val="333333"/>
                <w:kern w:val="0"/>
                <w:sz w:val="20"/>
                <w:szCs w:val="20"/>
                <w14:ligatures w14:val="none"/>
              </w:rPr>
              <w:t xml:space="preserve"> and through the Sunstate website.</w:t>
            </w:r>
          </w:p>
        </w:tc>
      </w:tr>
    </w:tbl>
    <w:p w14:paraId="79E325F9" w14:textId="77777777" w:rsidR="007D37CC" w:rsidRPr="007D37CC" w:rsidRDefault="007D37CC" w:rsidP="007D37CC">
      <w:pPr>
        <w:spacing w:after="0" w:line="240" w:lineRule="auto"/>
        <w:rPr>
          <w:rFonts w:ascii="Arial" w:eastAsia="Arial" w:hAnsi="Arial" w:cs="Arial"/>
        </w:rPr>
      </w:pPr>
    </w:p>
    <w:p w14:paraId="1A34ADA8" w14:textId="77777777" w:rsidR="007D37CC" w:rsidRPr="007D37CC" w:rsidRDefault="007D37CC" w:rsidP="007D37CC">
      <w:pPr>
        <w:spacing w:before="60" w:after="60" w:line="360" w:lineRule="auto"/>
        <w:rPr>
          <w:rFonts w:ascii="Arial" w:eastAsia="Arial" w:hAnsi="Arial" w:cs="Arial"/>
        </w:rPr>
      </w:pPr>
      <w:r w:rsidRPr="007D37CC">
        <w:rPr>
          <w:rFonts w:ascii="Calibri" w:eastAsia="Arial" w:hAnsi="Calibri" w:cs="Calibri"/>
          <w:color w:val="555555"/>
          <w:spacing w:val="16"/>
          <w:kern w:val="0"/>
          <w:sz w:val="18"/>
          <w:szCs w:val="18"/>
          <w14:ligatures w14:val="none"/>
        </w:rPr>
        <w:t>SECTION 1</w:t>
      </w:r>
    </w:p>
    <w:p w14:paraId="71F6C498" w14:textId="77777777" w:rsidR="007D37CC" w:rsidRPr="007D37CC" w:rsidRDefault="007D37CC" w:rsidP="007D37CC">
      <w:pPr>
        <w:spacing w:before="440" w:after="120" w:line="312" w:lineRule="auto"/>
        <w:outlineLvl w:val="0"/>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t>Executive Summary</w:t>
      </w:r>
    </w:p>
    <w:p w14:paraId="22E0EEC3"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As of July 31, 2026, the Association remains in a generally stable financial position. Total assets were approximately </w:t>
      </w:r>
      <w:r w:rsidRPr="007D37CC">
        <w:rPr>
          <w:rFonts w:ascii="Calibri" w:eastAsia="Arial" w:hAnsi="Calibri" w:cs="Calibri"/>
          <w:b/>
          <w:bCs/>
          <w:color w:val="000000"/>
          <w:kern w:val="0"/>
          <w:sz w:val="22"/>
          <w:szCs w:val="22"/>
          <w14:ligatures w14:val="none"/>
        </w:rPr>
        <w:t>$474,575</w:t>
      </w:r>
      <w:r w:rsidRPr="007D37CC">
        <w:rPr>
          <w:rFonts w:ascii="Calibri" w:eastAsia="Arial" w:hAnsi="Calibri" w:cs="Calibri"/>
          <w:color w:val="000000"/>
          <w:kern w:val="0"/>
          <w:sz w:val="22"/>
          <w:szCs w:val="22"/>
          <w14:ligatures w14:val="none"/>
        </w:rPr>
        <w:t xml:space="preserve">, consisting of approximately </w:t>
      </w:r>
      <w:r w:rsidRPr="007D37CC">
        <w:rPr>
          <w:rFonts w:ascii="Calibri" w:eastAsia="Arial" w:hAnsi="Calibri" w:cs="Calibri"/>
          <w:b/>
          <w:bCs/>
          <w:color w:val="000000"/>
          <w:kern w:val="0"/>
          <w:sz w:val="22"/>
          <w:szCs w:val="22"/>
          <w14:ligatures w14:val="none"/>
        </w:rPr>
        <w:t>$109,578</w:t>
      </w:r>
      <w:r w:rsidRPr="007D37CC">
        <w:rPr>
          <w:rFonts w:ascii="Calibri" w:eastAsia="Arial" w:hAnsi="Calibri" w:cs="Calibri"/>
          <w:color w:val="000000"/>
          <w:kern w:val="0"/>
          <w:sz w:val="22"/>
          <w:szCs w:val="22"/>
          <w14:ligatures w14:val="none"/>
        </w:rPr>
        <w:t xml:space="preserve"> in operating assets and </w:t>
      </w:r>
      <w:r w:rsidRPr="007D37CC">
        <w:rPr>
          <w:rFonts w:ascii="Calibri" w:eastAsia="Arial" w:hAnsi="Calibri" w:cs="Calibri"/>
          <w:b/>
          <w:bCs/>
          <w:color w:val="000000"/>
          <w:kern w:val="0"/>
          <w:sz w:val="22"/>
          <w:szCs w:val="22"/>
          <w14:ligatures w14:val="none"/>
        </w:rPr>
        <w:t>$364,997</w:t>
      </w:r>
      <w:r w:rsidRPr="007D37CC">
        <w:rPr>
          <w:rFonts w:ascii="Calibri" w:eastAsia="Arial" w:hAnsi="Calibri" w:cs="Calibri"/>
          <w:color w:val="000000"/>
          <w:kern w:val="0"/>
          <w:sz w:val="22"/>
          <w:szCs w:val="22"/>
          <w14:ligatures w14:val="none"/>
        </w:rPr>
        <w:t xml:space="preserve"> in reserve assets. Operating cash remains close to the one-month operating-reserve benchmark, with the Truist operating account showing approximately </w:t>
      </w:r>
      <w:r w:rsidRPr="007D37CC">
        <w:rPr>
          <w:rFonts w:ascii="Calibri" w:eastAsia="Arial" w:hAnsi="Calibri" w:cs="Calibri"/>
          <w:b/>
          <w:bCs/>
          <w:color w:val="000000"/>
          <w:kern w:val="0"/>
          <w:sz w:val="22"/>
          <w:szCs w:val="22"/>
          <w14:ligatures w14:val="none"/>
        </w:rPr>
        <w:t>$37,014</w:t>
      </w:r>
      <w:r w:rsidRPr="007D37CC">
        <w:rPr>
          <w:rFonts w:ascii="Calibri" w:eastAsia="Arial" w:hAnsi="Calibri" w:cs="Calibri"/>
          <w:color w:val="000000"/>
          <w:kern w:val="0"/>
          <w:sz w:val="22"/>
          <w:szCs w:val="22"/>
          <w14:ligatures w14:val="none"/>
        </w:rPr>
        <w:t>.</w:t>
      </w:r>
    </w:p>
    <w:p w14:paraId="2A3465EA"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Year-to-date income through July totaled approximately </w:t>
      </w:r>
      <w:r w:rsidRPr="007D37CC">
        <w:rPr>
          <w:rFonts w:ascii="Calibri" w:eastAsia="Arial" w:hAnsi="Calibri" w:cs="Calibri"/>
          <w:b/>
          <w:bCs/>
          <w:color w:val="000000"/>
          <w:kern w:val="0"/>
          <w:sz w:val="22"/>
          <w:szCs w:val="22"/>
          <w14:ligatures w14:val="none"/>
        </w:rPr>
        <w:t>$189,415 actual</w:t>
      </w:r>
      <w:r w:rsidRPr="007D37CC">
        <w:rPr>
          <w:rFonts w:ascii="Calibri" w:eastAsia="Arial" w:hAnsi="Calibri" w:cs="Calibri"/>
          <w:color w:val="000000"/>
          <w:kern w:val="0"/>
          <w:sz w:val="22"/>
          <w:szCs w:val="22"/>
          <w14:ligatures w14:val="none"/>
        </w:rPr>
        <w:t xml:space="preserve"> against a budget of approximately </w:t>
      </w:r>
      <w:r w:rsidRPr="007D37CC">
        <w:rPr>
          <w:rFonts w:ascii="Calibri" w:eastAsia="Arial" w:hAnsi="Calibri" w:cs="Calibri"/>
          <w:b/>
          <w:bCs/>
          <w:color w:val="000000"/>
          <w:kern w:val="0"/>
          <w:sz w:val="22"/>
          <w:szCs w:val="22"/>
          <w14:ligatures w14:val="none"/>
        </w:rPr>
        <w:t>$200,695</w:t>
      </w:r>
      <w:r w:rsidRPr="007D37CC">
        <w:rPr>
          <w:rFonts w:ascii="Calibri" w:eastAsia="Arial" w:hAnsi="Calibri" w:cs="Calibri"/>
          <w:color w:val="000000"/>
          <w:kern w:val="0"/>
          <w:sz w:val="22"/>
          <w:szCs w:val="22"/>
          <w14:ligatures w14:val="none"/>
        </w:rPr>
        <w:t xml:space="preserve">, resulting in an unfavorable variance of approximately </w:t>
      </w:r>
      <w:r w:rsidRPr="007D37CC">
        <w:rPr>
          <w:rFonts w:ascii="Calibri" w:eastAsia="Arial" w:hAnsi="Calibri" w:cs="Calibri"/>
          <w:b/>
          <w:bCs/>
          <w:color w:val="8B1A1A"/>
          <w:kern w:val="0"/>
          <w:sz w:val="22"/>
          <w:szCs w:val="22"/>
          <w14:ligatures w14:val="none"/>
        </w:rPr>
        <w:t>$11,279</w:t>
      </w:r>
      <w:r w:rsidRPr="007D37CC">
        <w:rPr>
          <w:rFonts w:ascii="Calibri" w:eastAsia="Arial" w:hAnsi="Calibri" w:cs="Calibri"/>
          <w:color w:val="000000"/>
          <w:kern w:val="0"/>
          <w:sz w:val="22"/>
          <w:szCs w:val="22"/>
          <w14:ligatures w14:val="none"/>
        </w:rPr>
        <w:t xml:space="preserve">. This unfavorable income variance is primarily due to reserve interest income timing: Reserve Interest shows approximately </w:t>
      </w:r>
      <w:r w:rsidRPr="007D37CC">
        <w:rPr>
          <w:rFonts w:ascii="Calibri" w:eastAsia="Arial" w:hAnsi="Calibri" w:cs="Calibri"/>
          <w:b/>
          <w:bCs/>
          <w:color w:val="000000"/>
          <w:kern w:val="0"/>
          <w:sz w:val="22"/>
          <w:szCs w:val="22"/>
          <w14:ligatures w14:val="none"/>
        </w:rPr>
        <w:t>$2,594 actual</w:t>
      </w:r>
      <w:r w:rsidRPr="007D37CC">
        <w:rPr>
          <w:rFonts w:ascii="Calibri" w:eastAsia="Arial" w:hAnsi="Calibri" w:cs="Calibri"/>
          <w:color w:val="000000"/>
          <w:kern w:val="0"/>
          <w:sz w:val="22"/>
          <w:szCs w:val="22"/>
          <w14:ligatures w14:val="none"/>
        </w:rPr>
        <w:t xml:space="preserve"> against a budget of approximately </w:t>
      </w:r>
      <w:r w:rsidRPr="007D37CC">
        <w:rPr>
          <w:rFonts w:ascii="Calibri" w:eastAsia="Arial" w:hAnsi="Calibri" w:cs="Calibri"/>
          <w:b/>
          <w:bCs/>
          <w:color w:val="000000"/>
          <w:kern w:val="0"/>
          <w:sz w:val="22"/>
          <w:szCs w:val="22"/>
          <w14:ligatures w14:val="none"/>
        </w:rPr>
        <w:t>$12,734</w:t>
      </w:r>
      <w:r w:rsidRPr="007D37CC">
        <w:rPr>
          <w:rFonts w:ascii="Calibri" w:eastAsia="Arial" w:hAnsi="Calibri" w:cs="Calibri"/>
          <w:color w:val="000000"/>
          <w:kern w:val="0"/>
          <w:sz w:val="22"/>
          <w:szCs w:val="22"/>
          <w14:ligatures w14:val="none"/>
        </w:rPr>
        <w:t xml:space="preserve">, an unfavorable variance of approximately </w:t>
      </w:r>
      <w:r w:rsidRPr="007D37CC">
        <w:rPr>
          <w:rFonts w:ascii="Calibri" w:eastAsia="Arial" w:hAnsi="Calibri" w:cs="Calibri"/>
          <w:b/>
          <w:bCs/>
          <w:color w:val="000000"/>
          <w:kern w:val="0"/>
          <w:sz w:val="22"/>
          <w:szCs w:val="22"/>
          <w14:ligatures w14:val="none"/>
        </w:rPr>
        <w:t>$10,140</w:t>
      </w:r>
      <w:r w:rsidRPr="007D37CC">
        <w:rPr>
          <w:rFonts w:ascii="Calibri" w:eastAsia="Arial" w:hAnsi="Calibri" w:cs="Calibri"/>
          <w:color w:val="000000"/>
          <w:kern w:val="0"/>
          <w:sz w:val="22"/>
          <w:szCs w:val="22"/>
          <w14:ligatures w14:val="none"/>
        </w:rPr>
        <w:t>. This appears to be a timing-related accounting variance rather than an operating shortfall.</w:t>
      </w:r>
    </w:p>
    <w:p w14:paraId="373688E4"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Year-to-date expenses totaled approximately </w:t>
      </w:r>
      <w:r w:rsidRPr="007D37CC">
        <w:rPr>
          <w:rFonts w:ascii="Calibri" w:eastAsia="Arial" w:hAnsi="Calibri" w:cs="Calibri"/>
          <w:b/>
          <w:bCs/>
          <w:color w:val="000000"/>
          <w:kern w:val="0"/>
          <w:sz w:val="22"/>
          <w:szCs w:val="22"/>
          <w14:ligatures w14:val="none"/>
        </w:rPr>
        <w:t>$190,229 actual</w:t>
      </w:r>
      <w:r w:rsidRPr="007D37CC">
        <w:rPr>
          <w:rFonts w:ascii="Calibri" w:eastAsia="Arial" w:hAnsi="Calibri" w:cs="Calibri"/>
          <w:color w:val="000000"/>
          <w:kern w:val="0"/>
          <w:sz w:val="22"/>
          <w:szCs w:val="22"/>
          <w14:ligatures w14:val="none"/>
        </w:rPr>
        <w:t xml:space="preserve"> against a budget of approximately </w:t>
      </w:r>
      <w:r w:rsidRPr="007D37CC">
        <w:rPr>
          <w:rFonts w:ascii="Calibri" w:eastAsia="Arial" w:hAnsi="Calibri" w:cs="Calibri"/>
          <w:b/>
          <w:bCs/>
          <w:color w:val="000000"/>
          <w:kern w:val="0"/>
          <w:sz w:val="22"/>
          <w:szCs w:val="22"/>
          <w14:ligatures w14:val="none"/>
        </w:rPr>
        <w:t>$200,695</w:t>
      </w:r>
      <w:r w:rsidRPr="007D37CC">
        <w:rPr>
          <w:rFonts w:ascii="Calibri" w:eastAsia="Arial" w:hAnsi="Calibri" w:cs="Calibri"/>
          <w:color w:val="000000"/>
          <w:kern w:val="0"/>
          <w:sz w:val="22"/>
          <w:szCs w:val="22"/>
          <w14:ligatures w14:val="none"/>
        </w:rPr>
        <w:t xml:space="preserve">, resulting in a favorable variance of approximately </w:t>
      </w:r>
      <w:r w:rsidRPr="007D37CC">
        <w:rPr>
          <w:rFonts w:ascii="Calibri" w:eastAsia="Arial" w:hAnsi="Calibri" w:cs="Calibri"/>
          <w:b/>
          <w:bCs/>
          <w:color w:val="1A5C2E"/>
          <w:kern w:val="0"/>
          <w:sz w:val="22"/>
          <w:szCs w:val="22"/>
          <w14:ligatures w14:val="none"/>
        </w:rPr>
        <w:t>$10,465</w:t>
      </w:r>
      <w:r w:rsidRPr="007D37CC">
        <w:rPr>
          <w:rFonts w:ascii="Calibri" w:eastAsia="Arial" w:hAnsi="Calibri" w:cs="Calibri"/>
          <w:color w:val="000000"/>
          <w:kern w:val="0"/>
          <w:sz w:val="22"/>
          <w:szCs w:val="22"/>
          <w14:ligatures w14:val="none"/>
        </w:rPr>
        <w:t xml:space="preserve">. The favorable expense variance nearly offsets the unfavorable income variance, leaving a modest year-to-date net loss of approximately </w:t>
      </w:r>
      <w:r w:rsidRPr="007D37CC">
        <w:rPr>
          <w:rFonts w:ascii="Calibri" w:eastAsia="Arial" w:hAnsi="Calibri" w:cs="Calibri"/>
          <w:b/>
          <w:bCs/>
          <w:color w:val="8B1A1A"/>
          <w:kern w:val="0"/>
          <w:sz w:val="22"/>
          <w:szCs w:val="22"/>
          <w14:ligatures w14:val="none"/>
        </w:rPr>
        <w:t>$814</w:t>
      </w:r>
      <w:r w:rsidRPr="007D37CC">
        <w:rPr>
          <w:rFonts w:ascii="Calibri" w:eastAsia="Arial" w:hAnsi="Calibri" w:cs="Calibri"/>
          <w:color w:val="000000"/>
          <w:kern w:val="0"/>
          <w:sz w:val="22"/>
          <w:szCs w:val="22"/>
          <w14:ligatures w14:val="none"/>
        </w:rPr>
        <w:t>.</w:t>
      </w:r>
    </w:p>
    <w:p w14:paraId="422E6639" w14:textId="77777777" w:rsidR="007D37CC" w:rsidRPr="007D37CC" w:rsidRDefault="007D37CC" w:rsidP="007D37CC">
      <w:pPr>
        <w:spacing w:before="60" w:after="60" w:line="360" w:lineRule="auto"/>
        <w:rPr>
          <w:rFonts w:ascii="Arial" w:eastAsia="Arial" w:hAnsi="Arial" w:cs="Arial"/>
        </w:rPr>
      </w:pPr>
      <w:r w:rsidRPr="007D37CC">
        <w:rPr>
          <w:rFonts w:ascii="Calibri" w:eastAsia="Arial" w:hAnsi="Calibri" w:cs="Calibri"/>
          <w:color w:val="555555"/>
          <w:spacing w:val="16"/>
          <w:kern w:val="0"/>
          <w:sz w:val="18"/>
          <w:szCs w:val="18"/>
          <w14:ligatures w14:val="none"/>
        </w:rPr>
        <w:t>SECTION 2</w:t>
      </w:r>
    </w:p>
    <w:p w14:paraId="4D552ED5" w14:textId="77777777" w:rsidR="00AC0A51" w:rsidRDefault="00AC0A51" w:rsidP="007D37CC">
      <w:pPr>
        <w:spacing w:before="440" w:after="120" w:line="312" w:lineRule="auto"/>
        <w:outlineLvl w:val="0"/>
        <w:rPr>
          <w:rFonts w:ascii="Calibri" w:eastAsia="Arial" w:hAnsi="Calibri" w:cs="Calibri"/>
          <w:b/>
          <w:bCs/>
          <w:color w:val="1A3A5C"/>
          <w:kern w:val="0"/>
          <w:sz w:val="40"/>
          <w:szCs w:val="40"/>
          <w14:ligatures w14:val="none"/>
        </w:rPr>
      </w:pPr>
    </w:p>
    <w:p w14:paraId="091478EB" w14:textId="6DED8D5E" w:rsidR="007D37CC" w:rsidRPr="007D37CC" w:rsidRDefault="007D37CC" w:rsidP="007D37CC">
      <w:pPr>
        <w:spacing w:before="440" w:after="120" w:line="312" w:lineRule="auto"/>
        <w:outlineLvl w:val="0"/>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lastRenderedPageBreak/>
        <w:t>Operating Budget Analysis</w:t>
      </w:r>
    </w:p>
    <w:p w14:paraId="716F8B89" w14:textId="77777777" w:rsidR="007D37CC" w:rsidRPr="007D37CC" w:rsidRDefault="007D37CC" w:rsidP="007D37CC">
      <w:pPr>
        <w:spacing w:before="320" w:after="80" w:line="312" w:lineRule="auto"/>
        <w:outlineLvl w:val="1"/>
        <w:rPr>
          <w:rFonts w:ascii="Arial" w:eastAsia="Arial" w:hAnsi="Arial" w:cs="Arial"/>
          <w:b/>
          <w:bCs/>
          <w:color w:val="000000"/>
          <w:sz w:val="36"/>
          <w:szCs w:val="36"/>
        </w:rPr>
      </w:pPr>
      <w:r w:rsidRPr="007D37CC">
        <w:rPr>
          <w:rFonts w:ascii="Calibri" w:eastAsia="Arial" w:hAnsi="Calibri" w:cs="Calibri"/>
          <w:b/>
          <w:bCs/>
          <w:color w:val="1A3A5C"/>
          <w:kern w:val="0"/>
          <w:sz w:val="28"/>
          <w:szCs w:val="28"/>
          <w14:ligatures w14:val="none"/>
        </w:rPr>
        <w:t>Year-to-Date Through July 31, 2026</w:t>
      </w:r>
    </w:p>
    <w:tbl>
      <w:tblPr>
        <w:tblW w:w="5000" w:type="pct"/>
        <w:tblBorders>
          <w:top w:val="single" w:sz="4" w:space="0" w:color="E5E7EB"/>
          <w:left w:val="single" w:sz="4" w:space="0" w:color="E5E7EB"/>
          <w:bottom w:val="single" w:sz="4" w:space="0" w:color="E5E7EB"/>
          <w:right w:val="single" w:sz="4" w:space="0" w:color="E5E7EB"/>
        </w:tblBorders>
        <w:tblCellMar>
          <w:left w:w="0" w:type="dxa"/>
          <w:right w:w="0" w:type="dxa"/>
        </w:tblCellMar>
        <w:tblLook w:val="04A0" w:firstRow="1" w:lastRow="0" w:firstColumn="1" w:lastColumn="0" w:noHBand="0" w:noVBand="1"/>
      </w:tblPr>
      <w:tblGrid>
        <w:gridCol w:w="3363"/>
        <w:gridCol w:w="1401"/>
        <w:gridCol w:w="1402"/>
        <w:gridCol w:w="1775"/>
        <w:gridCol w:w="1403"/>
      </w:tblGrid>
      <w:tr w:rsidR="007D37CC" w:rsidRPr="007D37CC" w14:paraId="136CE018" w14:textId="77777777" w:rsidTr="008148EE">
        <w:trPr>
          <w:tblHeader/>
        </w:trPr>
        <w:tc>
          <w:tcPr>
            <w:tcW w:w="180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5F490180" w14:textId="77777777" w:rsidR="007D37CC" w:rsidRPr="007D37CC" w:rsidRDefault="007D37CC" w:rsidP="007D37CC">
            <w:pPr>
              <w:spacing w:after="0" w:line="240" w:lineRule="auto"/>
              <w:rPr>
                <w:rFonts w:ascii="Arial" w:eastAsia="Arial" w:hAnsi="Arial" w:cs="Arial"/>
              </w:rPr>
            </w:pPr>
            <w:r w:rsidRPr="007D37CC">
              <w:rPr>
                <w:rFonts w:ascii="Calibri" w:eastAsia="Arial" w:hAnsi="Calibri" w:cs="Calibri"/>
                <w:b/>
                <w:bCs/>
                <w:color w:val="FFFFFF"/>
                <w:kern w:val="0"/>
                <w:sz w:val="22"/>
                <w:szCs w:val="22"/>
                <w14:ligatures w14:val="none"/>
              </w:rPr>
              <w:t>Category</w:t>
            </w:r>
          </w:p>
        </w:tc>
        <w:tc>
          <w:tcPr>
            <w:tcW w:w="7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0ECB79B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YTD Actual</w:t>
            </w:r>
          </w:p>
        </w:tc>
        <w:tc>
          <w:tcPr>
            <w:tcW w:w="7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2F09691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YTD Budget</w:t>
            </w:r>
          </w:p>
        </w:tc>
        <w:tc>
          <w:tcPr>
            <w:tcW w:w="9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1711DB72"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Variance</w:t>
            </w:r>
          </w:p>
        </w:tc>
        <w:tc>
          <w:tcPr>
            <w:tcW w:w="750" w:type="pct"/>
            <w:tcBorders>
              <w:top w:val="outset" w:sz="6" w:space="0" w:color="auto"/>
              <w:left w:val="outset" w:sz="6" w:space="0" w:color="auto"/>
              <w:bottom w:val="outset" w:sz="6" w:space="0" w:color="auto"/>
              <w:right w:val="outset" w:sz="6" w:space="0" w:color="auto"/>
            </w:tcBorders>
            <w:shd w:val="clear" w:color="auto" w:fill="1A3A5C"/>
            <w:tcMar>
              <w:top w:w="90" w:type="dxa"/>
              <w:left w:w="135" w:type="dxa"/>
              <w:bottom w:w="90" w:type="dxa"/>
              <w:right w:w="135" w:type="dxa"/>
            </w:tcMar>
            <w:hideMark/>
          </w:tcPr>
          <w:p w14:paraId="231C6574"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color w:val="FFFFFF"/>
                <w:kern w:val="0"/>
                <w:sz w:val="22"/>
                <w:szCs w:val="22"/>
                <w14:ligatures w14:val="none"/>
              </w:rPr>
              <w:t>Status</w:t>
            </w:r>
          </w:p>
        </w:tc>
      </w:tr>
      <w:tr w:rsidR="007D37CC" w:rsidRPr="007D37CC" w14:paraId="2045C7C2" w14:textId="77777777" w:rsidTr="008148EE">
        <w:tc>
          <w:tcPr>
            <w:tcW w:w="0" w:type="auto"/>
            <w:gridSpan w:val="5"/>
            <w:tcBorders>
              <w:top w:val="outset" w:sz="6" w:space="0" w:color="auto"/>
              <w:left w:val="outset" w:sz="6" w:space="0" w:color="auto"/>
              <w:bottom w:val="outset" w:sz="6" w:space="0" w:color="auto"/>
              <w:right w:val="outset" w:sz="6" w:space="0" w:color="auto"/>
            </w:tcBorders>
            <w:shd w:val="clear" w:color="auto" w:fill="E8EEF7"/>
            <w:tcMar>
              <w:top w:w="90" w:type="dxa"/>
              <w:left w:w="135" w:type="dxa"/>
              <w:bottom w:w="90" w:type="dxa"/>
              <w:right w:w="135" w:type="dxa"/>
            </w:tcMar>
            <w:hideMark/>
          </w:tcPr>
          <w:p w14:paraId="52DDC11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i/>
                <w:iCs/>
                <w:color w:val="1A3A5C"/>
                <w:kern w:val="0"/>
                <w:sz w:val="22"/>
                <w:szCs w:val="22"/>
                <w14:ligatures w14:val="none"/>
              </w:rPr>
              <w:t>OPERATING INCOME</w:t>
            </w:r>
          </w:p>
        </w:tc>
      </w:tr>
      <w:tr w:rsidR="007D37CC" w:rsidRPr="007D37CC" w14:paraId="79115915"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300D11A1"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Maintenance Fees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A1127"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$170,726.60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0B97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$172,813.69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80232"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$(2,087.09)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8EFB8"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Below Budget</w:t>
            </w:r>
          </w:p>
        </w:tc>
      </w:tr>
      <w:tr w:rsidR="007D37CC" w:rsidRPr="007D37CC" w14:paraId="0F46BC12"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9936268" w14:textId="77777777" w:rsidR="007D37CC" w:rsidRPr="007D37CC" w:rsidRDefault="007D37CC" w:rsidP="007D37CC">
            <w:pPr>
              <w:spacing w:after="0" w:line="240" w:lineRule="auto"/>
              <w:rPr>
                <w:rFonts w:ascii="Arial" w:eastAsia="Arial" w:hAnsi="Arial" w:cs="Arial"/>
                <w:kern w:val="0"/>
                <w14:ligatures w14:val="none"/>
              </w:rPr>
            </w:pPr>
            <w:proofErr w:type="gramStart"/>
            <w:r w:rsidRPr="007D37CC">
              <w:rPr>
                <w:rFonts w:ascii="Arial" w:eastAsia="Arial" w:hAnsi="Arial" w:cs="Arial"/>
                <w:kern w:val="0"/>
                <w14:ligatures w14:val="none"/>
              </w:rPr>
              <w:t>Reserve</w:t>
            </w:r>
            <w:proofErr w:type="gramEnd"/>
            <w:r w:rsidRPr="007D37CC">
              <w:rPr>
                <w:rFonts w:ascii="Arial" w:eastAsia="Arial" w:hAnsi="Arial" w:cs="Arial"/>
                <w:kern w:val="0"/>
                <w14:ligatures w14:val="none"/>
              </w:rPr>
              <w:t xml:space="preserve"> Interest Income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2F94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$2,594.03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246A1"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$12,733.56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C518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$(10,139.53)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15781"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Timing Variance</w:t>
            </w:r>
          </w:p>
        </w:tc>
      </w:tr>
      <w:tr w:rsidR="007D37CC" w:rsidRPr="007D37CC" w14:paraId="67625EB6"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7A9A79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Total Income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F871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$189,415.36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EC73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$200,694.69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D497E"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$(11,279.33)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94FA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Unfavorable</w:t>
            </w:r>
          </w:p>
        </w:tc>
      </w:tr>
      <w:tr w:rsidR="007D37CC" w:rsidRPr="007D37CC" w14:paraId="5D481F6C" w14:textId="77777777" w:rsidTr="008148EE">
        <w:tc>
          <w:tcPr>
            <w:tcW w:w="0" w:type="auto"/>
            <w:gridSpan w:val="5"/>
            <w:tcBorders>
              <w:top w:val="outset" w:sz="6" w:space="0" w:color="auto"/>
              <w:left w:val="outset" w:sz="6" w:space="0" w:color="auto"/>
              <w:bottom w:val="outset" w:sz="6" w:space="0" w:color="auto"/>
              <w:right w:val="outset" w:sz="6" w:space="0" w:color="auto"/>
            </w:tcBorders>
            <w:shd w:val="clear" w:color="auto" w:fill="E8EEF7"/>
            <w:tcMar>
              <w:top w:w="90" w:type="dxa"/>
              <w:left w:w="135" w:type="dxa"/>
              <w:bottom w:w="90" w:type="dxa"/>
              <w:right w:w="135" w:type="dxa"/>
            </w:tcMar>
            <w:hideMark/>
          </w:tcPr>
          <w:p w14:paraId="43D8552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Calibri" w:eastAsia="Arial" w:hAnsi="Calibri" w:cs="Calibri"/>
                <w:b/>
                <w:bCs/>
                <w:i/>
                <w:iCs/>
                <w:color w:val="1A3A5C"/>
                <w:kern w:val="0"/>
                <w:sz w:val="22"/>
                <w:szCs w:val="22"/>
                <w14:ligatures w14:val="none"/>
              </w:rPr>
              <w:t>OPERATING EXPENSES</w:t>
            </w:r>
          </w:p>
        </w:tc>
      </w:tr>
      <w:tr w:rsidR="007D37CC" w:rsidRPr="007D37CC" w14:paraId="653584C3"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32EA530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Administrative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09A8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$35,943.76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5C69F"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$18,124.82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1B2D5"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$(17,818.94)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64C9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8B1A1A"/>
                <w:kern w:val="0"/>
                <w14:ligatures w14:val="none"/>
              </w:rPr>
              <w:t>Over Budget</w:t>
            </w:r>
          </w:p>
        </w:tc>
      </w:tr>
      <w:tr w:rsidR="007D37CC" w:rsidRPr="007D37CC" w14:paraId="18FF8287"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51331E5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Grounds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06A04"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$107,133.39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FF6F1"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$134,290.31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14D14"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$27,156.92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69D5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Under Budget</w:t>
            </w:r>
          </w:p>
        </w:tc>
      </w:tr>
      <w:tr w:rsidR="007D37CC" w:rsidRPr="007D37CC" w14:paraId="6F6A34D4"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1D3F400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Pool &amp; Recreation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8DF62"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$9,127.82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E6FF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$9,205.00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A4DDD"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$77.18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A1025"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On Target</w:t>
            </w:r>
          </w:p>
        </w:tc>
      </w:tr>
      <w:tr w:rsidR="007D37CC" w:rsidRPr="007D37CC" w14:paraId="04683B5B"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58799D9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Repairs &amp; Maintenance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00F10"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$11,638.73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EA4C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$14,127.12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4BA44"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$2,488.39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A973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Under Budget</w:t>
            </w:r>
          </w:p>
        </w:tc>
      </w:tr>
      <w:tr w:rsidR="007D37CC" w:rsidRPr="007D37CC" w14:paraId="74D4F444"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DB9B6C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Utilities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5A3E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$8,644.11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E4DFC"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kern w:val="0"/>
                <w14:ligatures w14:val="none"/>
              </w:rPr>
              <w:t>$9,800.00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2675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$1,155.89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2F6D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Under Budget</w:t>
            </w:r>
          </w:p>
        </w:tc>
      </w:tr>
      <w:tr w:rsidR="007D37CC" w:rsidRPr="007D37CC" w14:paraId="41690785" w14:textId="77777777" w:rsidTr="008148EE">
        <w:tc>
          <w:tcPr>
            <w:tcW w:w="0" w:type="auto"/>
            <w:tcBorders>
              <w:top w:val="outset" w:sz="6" w:space="0" w:color="auto"/>
              <w:left w:val="outset" w:sz="6" w:space="0" w:color="auto"/>
              <w:bottom w:val="outset" w:sz="6" w:space="0" w:color="auto"/>
              <w:right w:val="outset" w:sz="6" w:space="0" w:color="auto"/>
            </w:tcBorders>
            <w:vAlign w:val="center"/>
            <w:hideMark/>
          </w:tcPr>
          <w:p w14:paraId="28ABC433"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Total Expense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296CB"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$190,229.16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FC169"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kern w:val="0"/>
                <w14:ligatures w14:val="none"/>
              </w:rPr>
              <w:t>$200,694.65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BC6EA"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$10,465.49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ADCE6" w14:textId="77777777" w:rsidR="007D37CC" w:rsidRPr="007D37CC" w:rsidRDefault="007D37CC" w:rsidP="007D37CC">
            <w:pPr>
              <w:spacing w:after="0" w:line="240" w:lineRule="auto"/>
              <w:rPr>
                <w:rFonts w:ascii="Arial" w:eastAsia="Arial" w:hAnsi="Arial" w:cs="Arial"/>
                <w:kern w:val="0"/>
                <w14:ligatures w14:val="none"/>
              </w:rPr>
            </w:pPr>
            <w:r w:rsidRPr="007D37CC">
              <w:rPr>
                <w:rFonts w:ascii="Arial" w:eastAsia="Arial" w:hAnsi="Arial" w:cs="Arial"/>
                <w:b/>
                <w:bCs/>
                <w:color w:val="1A5C2E"/>
                <w:kern w:val="0"/>
                <w14:ligatures w14:val="none"/>
              </w:rPr>
              <w:t>Favorable</w:t>
            </w:r>
          </w:p>
        </w:tc>
      </w:tr>
    </w:tbl>
    <w:p w14:paraId="75525A59" w14:textId="77777777" w:rsidR="007D37CC" w:rsidRPr="007D37CC" w:rsidRDefault="007D37CC" w:rsidP="007D37CC">
      <w:pPr>
        <w:spacing w:after="0" w:line="240" w:lineRule="auto"/>
        <w:rPr>
          <w:rFonts w:ascii="Arial" w:eastAsia="Arial" w:hAnsi="Arial" w:cs="Arial"/>
        </w:rPr>
      </w:pPr>
    </w:p>
    <w:p w14:paraId="65B41B7A" w14:textId="77777777" w:rsidR="00EC00F0" w:rsidRDefault="007D37CC" w:rsidP="00EC00F0">
      <w:pPr>
        <w:spacing w:before="60" w:after="60" w:line="360" w:lineRule="auto"/>
        <w:rPr>
          <w:rFonts w:ascii="Calibri" w:eastAsia="Arial" w:hAnsi="Calibri" w:cs="Calibri"/>
          <w:color w:val="555555"/>
          <w:spacing w:val="16"/>
          <w:kern w:val="0"/>
          <w:sz w:val="18"/>
          <w:szCs w:val="18"/>
          <w14:ligatures w14:val="none"/>
        </w:rPr>
      </w:pPr>
      <w:r w:rsidRPr="007D37CC">
        <w:rPr>
          <w:rFonts w:ascii="Calibri" w:eastAsia="Arial" w:hAnsi="Calibri" w:cs="Calibri"/>
          <w:color w:val="555555"/>
          <w:spacing w:val="16"/>
          <w:kern w:val="0"/>
          <w:sz w:val="18"/>
          <w:szCs w:val="18"/>
          <w14:ligatures w14:val="none"/>
        </w:rPr>
        <w:t>SECTION 3</w:t>
      </w:r>
    </w:p>
    <w:p w14:paraId="6B8E8D27" w14:textId="54F5686E" w:rsidR="007D37CC" w:rsidRPr="007D37CC" w:rsidRDefault="007D37CC" w:rsidP="00EC00F0">
      <w:pPr>
        <w:spacing w:before="60" w:after="60" w:line="360" w:lineRule="auto"/>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t>Income &amp; Expense Commentary</w:t>
      </w:r>
    </w:p>
    <w:p w14:paraId="56CA0B3A"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The July financial statement uses the format </w:t>
      </w:r>
      <w:r w:rsidRPr="007D37CC">
        <w:rPr>
          <w:rFonts w:ascii="Calibri" w:eastAsia="Arial" w:hAnsi="Calibri" w:cs="Calibri"/>
          <w:b/>
          <w:bCs/>
          <w:color w:val="000000"/>
          <w:kern w:val="0"/>
          <w:sz w:val="22"/>
          <w:szCs w:val="22"/>
          <w14:ligatures w14:val="none"/>
        </w:rPr>
        <w:t>Actual, Budget, Variance</w:t>
      </w:r>
      <w:r w:rsidRPr="007D37CC">
        <w:rPr>
          <w:rFonts w:ascii="Calibri" w:eastAsia="Arial" w:hAnsi="Calibri" w:cs="Calibri"/>
          <w:color w:val="000000"/>
          <w:kern w:val="0"/>
          <w:sz w:val="22"/>
          <w:szCs w:val="22"/>
          <w14:ligatures w14:val="none"/>
        </w:rPr>
        <w:t xml:space="preserve">. On that basis, year-to-date income is unfavorable by approximately </w:t>
      </w:r>
      <w:r w:rsidRPr="007D37CC">
        <w:rPr>
          <w:rFonts w:ascii="Calibri" w:eastAsia="Arial" w:hAnsi="Calibri" w:cs="Calibri"/>
          <w:b/>
          <w:bCs/>
          <w:color w:val="000000"/>
          <w:kern w:val="0"/>
          <w:sz w:val="22"/>
          <w:szCs w:val="22"/>
          <w14:ligatures w14:val="none"/>
        </w:rPr>
        <w:t>$11,279</w:t>
      </w:r>
      <w:r w:rsidRPr="007D37CC">
        <w:rPr>
          <w:rFonts w:ascii="Calibri" w:eastAsia="Arial" w:hAnsi="Calibri" w:cs="Calibri"/>
          <w:color w:val="000000"/>
          <w:kern w:val="0"/>
          <w:sz w:val="22"/>
          <w:szCs w:val="22"/>
          <w14:ligatures w14:val="none"/>
        </w:rPr>
        <w:t xml:space="preserve">. The largest driver is Reserve Interest Income, which shows approximately </w:t>
      </w:r>
      <w:r w:rsidRPr="007D37CC">
        <w:rPr>
          <w:rFonts w:ascii="Calibri" w:eastAsia="Arial" w:hAnsi="Calibri" w:cs="Calibri"/>
          <w:b/>
          <w:bCs/>
          <w:color w:val="000000"/>
          <w:kern w:val="0"/>
          <w:sz w:val="22"/>
          <w:szCs w:val="22"/>
          <w14:ligatures w14:val="none"/>
        </w:rPr>
        <w:t>$2,594 actual</w:t>
      </w:r>
      <w:r w:rsidRPr="007D37CC">
        <w:rPr>
          <w:rFonts w:ascii="Calibri" w:eastAsia="Arial" w:hAnsi="Calibri" w:cs="Calibri"/>
          <w:color w:val="000000"/>
          <w:kern w:val="0"/>
          <w:sz w:val="22"/>
          <w:szCs w:val="22"/>
          <w14:ligatures w14:val="none"/>
        </w:rPr>
        <w:t xml:space="preserve"> compared with a budget of approximately </w:t>
      </w:r>
      <w:r w:rsidRPr="007D37CC">
        <w:rPr>
          <w:rFonts w:ascii="Calibri" w:eastAsia="Arial" w:hAnsi="Calibri" w:cs="Calibri"/>
          <w:b/>
          <w:bCs/>
          <w:color w:val="000000"/>
          <w:kern w:val="0"/>
          <w:sz w:val="22"/>
          <w:szCs w:val="22"/>
          <w14:ligatures w14:val="none"/>
        </w:rPr>
        <w:t>$12,734</w:t>
      </w:r>
      <w:r w:rsidRPr="007D37CC">
        <w:rPr>
          <w:rFonts w:ascii="Calibri" w:eastAsia="Arial" w:hAnsi="Calibri" w:cs="Calibri"/>
          <w:color w:val="000000"/>
          <w:kern w:val="0"/>
          <w:sz w:val="22"/>
          <w:szCs w:val="22"/>
          <w14:ligatures w14:val="none"/>
        </w:rPr>
        <w:t xml:space="preserve">, or approximately </w:t>
      </w:r>
      <w:r w:rsidRPr="007D37CC">
        <w:rPr>
          <w:rFonts w:ascii="Calibri" w:eastAsia="Arial" w:hAnsi="Calibri" w:cs="Calibri"/>
          <w:b/>
          <w:bCs/>
          <w:color w:val="000000"/>
          <w:kern w:val="0"/>
          <w:sz w:val="22"/>
          <w:szCs w:val="22"/>
          <w14:ligatures w14:val="none"/>
        </w:rPr>
        <w:t>$10,140 unfavorable</w:t>
      </w:r>
      <w:r w:rsidRPr="007D37CC">
        <w:rPr>
          <w:rFonts w:ascii="Calibri" w:eastAsia="Arial" w:hAnsi="Calibri" w:cs="Calibri"/>
          <w:color w:val="000000"/>
          <w:kern w:val="0"/>
          <w:sz w:val="22"/>
          <w:szCs w:val="22"/>
          <w14:ligatures w14:val="none"/>
        </w:rPr>
        <w:t>. Because reserve interest is commonly affected by investment maturity dates and how interest is recorded before maturity, this unfavorable variance appears to be primarily timing-related rather than a recurring operating issue.</w:t>
      </w:r>
    </w:p>
    <w:p w14:paraId="201D85DE"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Maintenance fees are also modestly below budget by approximately </w:t>
      </w:r>
      <w:r w:rsidRPr="007D37CC">
        <w:rPr>
          <w:rFonts w:ascii="Calibri" w:eastAsia="Arial" w:hAnsi="Calibri" w:cs="Calibri"/>
          <w:b/>
          <w:bCs/>
          <w:color w:val="000000"/>
          <w:kern w:val="0"/>
          <w:sz w:val="22"/>
          <w:szCs w:val="22"/>
          <w14:ligatures w14:val="none"/>
        </w:rPr>
        <w:t>$2,087</w:t>
      </w:r>
      <w:r w:rsidRPr="007D37CC">
        <w:rPr>
          <w:rFonts w:ascii="Calibri" w:eastAsia="Arial" w:hAnsi="Calibri" w:cs="Calibri"/>
          <w:color w:val="000000"/>
          <w:kern w:val="0"/>
          <w:sz w:val="22"/>
          <w:szCs w:val="22"/>
          <w14:ligatures w14:val="none"/>
        </w:rPr>
        <w:t xml:space="preserve"> year-to-date. This should continue to be monitored along with accounts receivable and owner arrears. However, the reported income shortfall is primarily explained by the reserve interest timing variance, not by a major shortfall in regular maintenance-fee collections.</w:t>
      </w:r>
    </w:p>
    <w:p w14:paraId="64178FB7" w14:textId="77777777" w:rsidR="00994C27" w:rsidRPr="007D37CC" w:rsidRDefault="000E0F5B">
      <w:pPr>
        <w:spacing w:before="60" w:after="240" w:line="360" w:lineRule="auto"/>
      </w:pPr>
      <w:r w:rsidRPr="007D37CC">
        <w:rPr>
          <w:rFonts w:ascii="Calibri" w:eastAsia="Arial" w:hAnsi="Calibri" w:cs="Calibri"/>
          <w:color w:val="000000"/>
          <w:kern w:val="0"/>
          <w:sz w:val="22"/>
          <w:szCs w:val="22"/>
          <w14:ligatures w14:val="none"/>
        </w:rPr>
        <w:lastRenderedPageBreak/>
        <w:t xml:space="preserve">Expense performance through July is favorable overall. Grounds </w:t>
      </w:r>
      <w:proofErr w:type="gramStart"/>
      <w:r w:rsidRPr="007D37CC">
        <w:rPr>
          <w:rFonts w:ascii="Calibri" w:eastAsia="Arial" w:hAnsi="Calibri" w:cs="Calibri"/>
          <w:color w:val="000000"/>
          <w:kern w:val="0"/>
          <w:sz w:val="22"/>
          <w:szCs w:val="22"/>
          <w14:ligatures w14:val="none"/>
        </w:rPr>
        <w:t>is</w:t>
      </w:r>
      <w:proofErr w:type="gramEnd"/>
      <w:r w:rsidRPr="007D37CC">
        <w:rPr>
          <w:rFonts w:ascii="Calibri" w:eastAsia="Arial" w:hAnsi="Calibri" w:cs="Calibri"/>
          <w:color w:val="000000"/>
          <w:kern w:val="0"/>
          <w:sz w:val="22"/>
          <w:szCs w:val="22"/>
          <w14:ligatures w14:val="none"/>
        </w:rPr>
        <w:t xml:space="preserve"> approximately </w:t>
      </w:r>
      <w:r w:rsidRPr="007D37CC">
        <w:rPr>
          <w:rFonts w:ascii="Calibri" w:eastAsia="Arial" w:hAnsi="Calibri" w:cs="Calibri"/>
          <w:b/>
          <w:bCs/>
          <w:color w:val="000000"/>
          <w:kern w:val="0"/>
          <w:sz w:val="22"/>
          <w:szCs w:val="22"/>
          <w14:ligatures w14:val="none"/>
        </w:rPr>
        <w:t>$27,157 under budget</w:t>
      </w:r>
      <w:r w:rsidRPr="007D37CC">
        <w:rPr>
          <w:rFonts w:ascii="Calibri" w:eastAsia="Arial" w:hAnsi="Calibri" w:cs="Calibri"/>
          <w:color w:val="000000"/>
          <w:kern w:val="0"/>
          <w:sz w:val="22"/>
          <w:szCs w:val="22"/>
          <w14:ligatures w14:val="none"/>
        </w:rPr>
        <w:t xml:space="preserve">, which more than offsets the administrative overage of approximately </w:t>
      </w:r>
      <w:r w:rsidRPr="007D37CC">
        <w:rPr>
          <w:rFonts w:ascii="Calibri" w:eastAsia="Arial" w:hAnsi="Calibri" w:cs="Calibri"/>
          <w:b/>
          <w:bCs/>
          <w:color w:val="000000"/>
          <w:kern w:val="0"/>
          <w:sz w:val="22"/>
          <w:szCs w:val="22"/>
          <w14:ligatures w14:val="none"/>
        </w:rPr>
        <w:t>$17,819</w:t>
      </w:r>
      <w:r w:rsidRPr="007D37CC">
        <w:rPr>
          <w:rFonts w:ascii="Calibri" w:eastAsia="Arial" w:hAnsi="Calibri" w:cs="Calibri"/>
          <w:color w:val="000000"/>
          <w:kern w:val="0"/>
          <w:sz w:val="22"/>
          <w:szCs w:val="22"/>
          <w14:ligatures w14:val="none"/>
        </w:rPr>
        <w:t xml:space="preserve">. </w:t>
      </w:r>
      <w:r w:rsidR="006409B0" w:rsidRPr="006409B0">
        <w:rPr>
          <w:rFonts w:ascii="Calibri" w:hAnsi="Calibri" w:cs="Calibri"/>
          <w:color w:val="000000"/>
          <w:sz w:val="22"/>
          <w:szCs w:val="22"/>
        </w:rPr>
        <w:t xml:space="preserve">The administrative overage is primarily attributable to higher fees charged by the Association’s new management company and related onboarding costs. The Board chose to absorb these costs in the 2026 budget rather than increase residents’ monthly HOA fees. </w:t>
      </w:r>
      <w:r w:rsidRPr="007D37CC">
        <w:rPr>
          <w:rFonts w:ascii="Calibri" w:eastAsia="Arial" w:hAnsi="Calibri" w:cs="Calibri"/>
          <w:color w:val="000000"/>
          <w:kern w:val="0"/>
          <w:sz w:val="22"/>
          <w:szCs w:val="22"/>
          <w14:ligatures w14:val="none"/>
        </w:rPr>
        <w:t>Repairs and maintenance, utilities, and pool and recreation are also at or below budget. These favorable expense results nearly offset the unfavorable income variance, leaving the Association close to break-even year-to-date.</w:t>
      </w:r>
    </w:p>
    <w:p w14:paraId="5DB09FAE" w14:textId="77777777" w:rsidR="00EC00F0" w:rsidRDefault="007D37CC" w:rsidP="00AC0A51">
      <w:pPr>
        <w:spacing w:before="60" w:after="60" w:line="360" w:lineRule="auto"/>
        <w:rPr>
          <w:rFonts w:ascii="Calibri" w:eastAsia="Arial" w:hAnsi="Calibri" w:cs="Calibri"/>
          <w:color w:val="555555"/>
          <w:spacing w:val="16"/>
          <w:kern w:val="0"/>
          <w:sz w:val="18"/>
          <w:szCs w:val="18"/>
          <w14:ligatures w14:val="none"/>
        </w:rPr>
      </w:pPr>
      <w:r w:rsidRPr="007D37CC">
        <w:rPr>
          <w:rFonts w:ascii="Calibri" w:eastAsia="Arial" w:hAnsi="Calibri" w:cs="Calibri"/>
          <w:color w:val="555555"/>
          <w:spacing w:val="16"/>
          <w:kern w:val="0"/>
          <w:sz w:val="18"/>
          <w:szCs w:val="18"/>
          <w14:ligatures w14:val="none"/>
        </w:rPr>
        <w:t>SECTION 4</w:t>
      </w:r>
    </w:p>
    <w:p w14:paraId="6F710A33" w14:textId="2A280E12" w:rsidR="007D37CC" w:rsidRPr="007D37CC" w:rsidRDefault="007D37CC" w:rsidP="00AC0A51">
      <w:pPr>
        <w:spacing w:before="60" w:after="60" w:line="360" w:lineRule="auto"/>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t>Reserve Budget Status</w:t>
      </w:r>
    </w:p>
    <w:p w14:paraId="5EA136FE"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Total reserves as of July 31, </w:t>
      </w:r>
      <w:proofErr w:type="gramStart"/>
      <w:r w:rsidRPr="007D37CC">
        <w:rPr>
          <w:rFonts w:ascii="Calibri" w:eastAsia="Arial" w:hAnsi="Calibri" w:cs="Calibri"/>
          <w:color w:val="000000"/>
          <w:kern w:val="0"/>
          <w:sz w:val="22"/>
          <w:szCs w:val="22"/>
          <w14:ligatures w14:val="none"/>
        </w:rPr>
        <w:t>2026</w:t>
      </w:r>
      <w:proofErr w:type="gramEnd"/>
      <w:r w:rsidRPr="007D37CC">
        <w:rPr>
          <w:rFonts w:ascii="Calibri" w:eastAsia="Arial" w:hAnsi="Calibri" w:cs="Calibri"/>
          <w:color w:val="000000"/>
          <w:kern w:val="0"/>
          <w:sz w:val="22"/>
          <w:szCs w:val="22"/>
          <w14:ligatures w14:val="none"/>
        </w:rPr>
        <w:t xml:space="preserve"> were approximately </w:t>
      </w:r>
      <w:r w:rsidRPr="007D37CC">
        <w:rPr>
          <w:rFonts w:ascii="Calibri" w:eastAsia="Arial" w:hAnsi="Calibri" w:cs="Calibri"/>
          <w:b/>
          <w:bCs/>
          <w:color w:val="000000"/>
          <w:kern w:val="0"/>
          <w:sz w:val="22"/>
          <w:szCs w:val="22"/>
          <w14:ligatures w14:val="none"/>
        </w:rPr>
        <w:t>$364,997</w:t>
      </w:r>
      <w:r w:rsidRPr="007D37CC">
        <w:rPr>
          <w:rFonts w:ascii="Calibri" w:eastAsia="Arial" w:hAnsi="Calibri" w:cs="Calibri"/>
          <w:color w:val="000000"/>
          <w:kern w:val="0"/>
          <w:sz w:val="22"/>
          <w:szCs w:val="22"/>
          <w14:ligatures w14:val="none"/>
        </w:rPr>
        <w:t xml:space="preserve">. The reserve schedule shows beginning reserves of approximately </w:t>
      </w:r>
      <w:r w:rsidRPr="007D37CC">
        <w:rPr>
          <w:rFonts w:ascii="Calibri" w:eastAsia="Arial" w:hAnsi="Calibri" w:cs="Calibri"/>
          <w:b/>
          <w:bCs/>
          <w:color w:val="000000"/>
          <w:kern w:val="0"/>
          <w:sz w:val="22"/>
          <w:szCs w:val="22"/>
          <w14:ligatures w14:val="none"/>
        </w:rPr>
        <w:t>$354,962</w:t>
      </w:r>
      <w:r w:rsidRPr="007D37CC">
        <w:rPr>
          <w:rFonts w:ascii="Calibri" w:eastAsia="Arial" w:hAnsi="Calibri" w:cs="Calibri"/>
          <w:color w:val="000000"/>
          <w:kern w:val="0"/>
          <w:sz w:val="22"/>
          <w:szCs w:val="22"/>
          <w14:ligatures w14:val="none"/>
        </w:rPr>
        <w:t xml:space="preserve">, year-to-date contributions of approximately </w:t>
      </w:r>
      <w:r w:rsidRPr="007D37CC">
        <w:rPr>
          <w:rFonts w:ascii="Calibri" w:eastAsia="Arial" w:hAnsi="Calibri" w:cs="Calibri"/>
          <w:b/>
          <w:bCs/>
          <w:color w:val="000000"/>
          <w:kern w:val="0"/>
          <w:sz w:val="22"/>
          <w:szCs w:val="22"/>
          <w14:ligatures w14:val="none"/>
        </w:rPr>
        <w:t>$15,147</w:t>
      </w:r>
      <w:r w:rsidRPr="007D37CC">
        <w:rPr>
          <w:rFonts w:ascii="Calibri" w:eastAsia="Arial" w:hAnsi="Calibri" w:cs="Calibri"/>
          <w:color w:val="000000"/>
          <w:kern w:val="0"/>
          <w:sz w:val="22"/>
          <w:szCs w:val="22"/>
          <w14:ligatures w14:val="none"/>
        </w:rPr>
        <w:t xml:space="preserve">, year-to-date allocations of approximately </w:t>
      </w:r>
      <w:r w:rsidRPr="007D37CC">
        <w:rPr>
          <w:rFonts w:ascii="Calibri" w:eastAsia="Arial" w:hAnsi="Calibri" w:cs="Calibri"/>
          <w:b/>
          <w:bCs/>
          <w:color w:val="000000"/>
          <w:kern w:val="0"/>
          <w:sz w:val="22"/>
          <w:szCs w:val="22"/>
          <w14:ligatures w14:val="none"/>
        </w:rPr>
        <w:t>$13,985</w:t>
      </w:r>
      <w:r w:rsidRPr="007D37CC">
        <w:rPr>
          <w:rFonts w:ascii="Calibri" w:eastAsia="Arial" w:hAnsi="Calibri" w:cs="Calibri"/>
          <w:color w:val="000000"/>
          <w:kern w:val="0"/>
          <w:sz w:val="22"/>
          <w:szCs w:val="22"/>
          <w14:ligatures w14:val="none"/>
        </w:rPr>
        <w:t xml:space="preserve">, year-to-date reserve expenses of approximately </w:t>
      </w:r>
      <w:r w:rsidRPr="007D37CC">
        <w:rPr>
          <w:rFonts w:ascii="Calibri" w:eastAsia="Arial" w:hAnsi="Calibri" w:cs="Calibri"/>
          <w:b/>
          <w:bCs/>
          <w:color w:val="000000"/>
          <w:kern w:val="0"/>
          <w:sz w:val="22"/>
          <w:szCs w:val="22"/>
          <w14:ligatures w14:val="none"/>
        </w:rPr>
        <w:t>$21,493</w:t>
      </w:r>
      <w:r w:rsidRPr="007D37CC">
        <w:rPr>
          <w:rFonts w:ascii="Calibri" w:eastAsia="Arial" w:hAnsi="Calibri" w:cs="Calibri"/>
          <w:color w:val="000000"/>
          <w:kern w:val="0"/>
          <w:sz w:val="22"/>
          <w:szCs w:val="22"/>
          <w14:ligatures w14:val="none"/>
        </w:rPr>
        <w:t xml:space="preserve">, and year-to-date interest of approximately </w:t>
      </w:r>
      <w:r w:rsidRPr="007D37CC">
        <w:rPr>
          <w:rFonts w:ascii="Calibri" w:eastAsia="Arial" w:hAnsi="Calibri" w:cs="Calibri"/>
          <w:b/>
          <w:bCs/>
          <w:color w:val="000000"/>
          <w:kern w:val="0"/>
          <w:sz w:val="22"/>
          <w:szCs w:val="22"/>
          <w14:ligatures w14:val="none"/>
        </w:rPr>
        <w:t>$2,396</w:t>
      </w:r>
      <w:r w:rsidRPr="007D37CC">
        <w:rPr>
          <w:rFonts w:ascii="Calibri" w:eastAsia="Arial" w:hAnsi="Calibri" w:cs="Calibri"/>
          <w:color w:val="000000"/>
          <w:kern w:val="0"/>
          <w:sz w:val="22"/>
          <w:szCs w:val="22"/>
          <w14:ligatures w14:val="none"/>
        </w:rPr>
        <w:t>.</w:t>
      </w:r>
    </w:p>
    <w:p w14:paraId="69C7A0D6"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 xml:space="preserve">The July reserve activity includes a planned draw of approximately </w:t>
      </w:r>
      <w:r w:rsidRPr="007D37CC">
        <w:rPr>
          <w:rFonts w:ascii="Calibri" w:eastAsia="Arial" w:hAnsi="Calibri" w:cs="Calibri"/>
          <w:b/>
          <w:bCs/>
          <w:color w:val="000000"/>
          <w:kern w:val="0"/>
          <w:sz w:val="22"/>
          <w:szCs w:val="22"/>
          <w14:ligatures w14:val="none"/>
        </w:rPr>
        <w:t>$21,493</w:t>
      </w:r>
      <w:r w:rsidRPr="007D37CC">
        <w:rPr>
          <w:rFonts w:ascii="Calibri" w:eastAsia="Arial" w:hAnsi="Calibri" w:cs="Calibri"/>
          <w:color w:val="000000"/>
          <w:kern w:val="0"/>
          <w:sz w:val="22"/>
          <w:szCs w:val="22"/>
          <w14:ligatures w14:val="none"/>
        </w:rPr>
        <w:t xml:space="preserve"> from the Irrigation Pumps reserve for the Twin Palm Landscape new pump installation. No other reserve concerns were identified from the July data provided.</w:t>
      </w:r>
    </w:p>
    <w:p w14:paraId="59791736" w14:textId="77777777" w:rsidR="00EC00F0" w:rsidRDefault="007D37CC" w:rsidP="00EC00F0">
      <w:pPr>
        <w:spacing w:before="60" w:after="60" w:line="360" w:lineRule="auto"/>
        <w:rPr>
          <w:rFonts w:ascii="Calibri" w:eastAsia="Arial" w:hAnsi="Calibri" w:cs="Calibri"/>
          <w:color w:val="555555"/>
          <w:spacing w:val="16"/>
          <w:kern w:val="0"/>
          <w:sz w:val="18"/>
          <w:szCs w:val="18"/>
          <w14:ligatures w14:val="none"/>
        </w:rPr>
      </w:pPr>
      <w:r w:rsidRPr="007D37CC">
        <w:rPr>
          <w:rFonts w:ascii="Calibri" w:eastAsia="Arial" w:hAnsi="Calibri" w:cs="Calibri"/>
          <w:color w:val="555555"/>
          <w:spacing w:val="16"/>
          <w:kern w:val="0"/>
          <w:sz w:val="18"/>
          <w:szCs w:val="18"/>
          <w14:ligatures w14:val="none"/>
        </w:rPr>
        <w:t>SECTION 5</w:t>
      </w:r>
    </w:p>
    <w:p w14:paraId="7863548F" w14:textId="57FE7FC9" w:rsidR="007D37CC" w:rsidRPr="007D37CC" w:rsidRDefault="007D37CC" w:rsidP="00EC00F0">
      <w:pPr>
        <w:spacing w:before="60" w:after="60" w:line="360" w:lineRule="auto"/>
        <w:rPr>
          <w:rFonts w:ascii="Arial" w:eastAsia="Arial" w:hAnsi="Arial" w:cs="Arial"/>
          <w:b/>
          <w:bCs/>
          <w:color w:val="000000"/>
          <w:kern w:val="36"/>
          <w:sz w:val="48"/>
          <w:szCs w:val="48"/>
        </w:rPr>
      </w:pPr>
      <w:r w:rsidRPr="007D37CC">
        <w:rPr>
          <w:rFonts w:ascii="Calibri" w:eastAsia="Arial" w:hAnsi="Calibri" w:cs="Calibri"/>
          <w:b/>
          <w:bCs/>
          <w:color w:val="1A3A5C"/>
          <w:kern w:val="0"/>
          <w:sz w:val="40"/>
          <w:szCs w:val="40"/>
          <w14:ligatures w14:val="none"/>
        </w:rPr>
        <w:t>Treasurer's Closing Note</w:t>
      </w:r>
    </w:p>
    <w:p w14:paraId="15AFEF15" w14:textId="77777777" w:rsidR="007D37CC" w:rsidRPr="007D37CC" w:rsidRDefault="007D37CC" w:rsidP="007D37CC">
      <w:pPr>
        <w:spacing w:before="60" w:after="240" w:line="360" w:lineRule="auto"/>
        <w:rPr>
          <w:rFonts w:ascii="Arial" w:eastAsia="Arial" w:hAnsi="Arial" w:cs="Arial"/>
        </w:rPr>
      </w:pPr>
      <w:r w:rsidRPr="007D37CC">
        <w:rPr>
          <w:rFonts w:ascii="Calibri" w:eastAsia="Arial" w:hAnsi="Calibri" w:cs="Calibri"/>
          <w:color w:val="000000"/>
          <w:kern w:val="0"/>
          <w:sz w:val="22"/>
          <w:szCs w:val="22"/>
          <w14:ligatures w14:val="none"/>
        </w:rPr>
        <w:t>Through July, the Association remains close to budget overall. The income variance is unfavorable, but it is primarily attributable to reserve interest timing rather than a direct operating spending issue. Expense savings, especially in Grounds, nearly offset the income variance. The board should continue monitoring reserve interest recognition, accounts receivable, owner arrears, and administrative expenses during the remainder of the year.</w:t>
      </w:r>
    </w:p>
    <w:p w14:paraId="1973B94B" w14:textId="77777777" w:rsidR="007D37CC" w:rsidRPr="007D37CC" w:rsidRDefault="007D37CC" w:rsidP="007D37CC">
      <w:pPr>
        <w:spacing w:before="60" w:after="360" w:line="360" w:lineRule="auto"/>
        <w:rPr>
          <w:rFonts w:ascii="Arial" w:eastAsia="Arial" w:hAnsi="Arial" w:cs="Arial"/>
        </w:rPr>
      </w:pPr>
      <w:r w:rsidRPr="007D37CC">
        <w:rPr>
          <w:rFonts w:ascii="Calibri" w:eastAsia="Arial" w:hAnsi="Calibri" w:cs="Calibri"/>
          <w:color w:val="000000"/>
          <w:kern w:val="0"/>
          <w:sz w:val="22"/>
          <w:szCs w:val="22"/>
          <w14:ligatures w14:val="none"/>
        </w:rPr>
        <w:t>Respectfully submitted,</w:t>
      </w:r>
    </w:p>
    <w:p w14:paraId="079842B9" w14:textId="77777777" w:rsidR="007D37CC" w:rsidRPr="007D37CC" w:rsidRDefault="007D37CC" w:rsidP="007D37CC">
      <w:pPr>
        <w:spacing w:after="240" w:line="360" w:lineRule="auto"/>
        <w:rPr>
          <w:rFonts w:ascii="Arial" w:eastAsia="Arial" w:hAnsi="Arial" w:cs="Arial"/>
        </w:rPr>
      </w:pPr>
      <w:r w:rsidRPr="007D37CC">
        <w:rPr>
          <w:rFonts w:ascii="Calibri" w:eastAsia="Arial" w:hAnsi="Calibri" w:cs="Calibri"/>
          <w:b/>
          <w:bCs/>
          <w:color w:val="000000"/>
          <w:kern w:val="0"/>
          <w:sz w:val="20"/>
          <w:szCs w:val="20"/>
          <w14:ligatures w14:val="none"/>
        </w:rPr>
        <w:t>Bill Davis</w:t>
      </w:r>
    </w:p>
    <w:p w14:paraId="774469D4" w14:textId="77777777" w:rsidR="007D37CC" w:rsidRPr="007D37CC" w:rsidRDefault="007D37CC" w:rsidP="007D37CC">
      <w:pPr>
        <w:spacing w:after="240" w:line="360" w:lineRule="auto"/>
        <w:rPr>
          <w:rFonts w:ascii="Arial" w:eastAsia="Arial" w:hAnsi="Arial" w:cs="Arial"/>
        </w:rPr>
      </w:pPr>
      <w:r w:rsidRPr="007D37CC">
        <w:rPr>
          <w:rFonts w:ascii="Calibri" w:eastAsia="Arial" w:hAnsi="Calibri" w:cs="Calibri"/>
          <w:color w:val="555555"/>
          <w:kern w:val="0"/>
          <w:sz w:val="18"/>
          <w:szCs w:val="18"/>
          <w14:ligatures w14:val="none"/>
        </w:rPr>
        <w:t>Treasurer, Patio Homes of Chestnut Creek Homeowners Association</w:t>
      </w:r>
    </w:p>
    <w:p w14:paraId="169CD3D1" w14:textId="77777777" w:rsidR="007D37CC" w:rsidRPr="007D37CC" w:rsidRDefault="007D37CC" w:rsidP="007D37CC">
      <w:pPr>
        <w:spacing w:after="240" w:line="360" w:lineRule="auto"/>
        <w:rPr>
          <w:rFonts w:ascii="Arial" w:eastAsia="Arial" w:hAnsi="Arial" w:cs="Arial"/>
        </w:rPr>
      </w:pPr>
      <w:r w:rsidRPr="007D37CC">
        <w:rPr>
          <w:rFonts w:ascii="Calibri" w:eastAsia="Arial" w:hAnsi="Calibri" w:cs="Calibri"/>
          <w:color w:val="555555"/>
          <w:kern w:val="0"/>
          <w:sz w:val="18"/>
          <w:szCs w:val="18"/>
          <w14:ligatures w14:val="none"/>
        </w:rPr>
        <w:t>Date: August 2026</w:t>
      </w:r>
    </w:p>
    <w:p w14:paraId="1976BEB0" w14:textId="77777777" w:rsidR="007D37CC" w:rsidRPr="007D37CC" w:rsidRDefault="007D37CC" w:rsidP="007D37CC">
      <w:pPr>
        <w:spacing w:after="0" w:line="240" w:lineRule="auto"/>
        <w:rPr>
          <w:rFonts w:ascii="Arial" w:eastAsia="Arial" w:hAnsi="Arial" w:cs="Arial"/>
          <w:kern w:val="0"/>
          <w14:ligatures w14:val="none"/>
        </w:rPr>
      </w:pPr>
    </w:p>
    <w:p w14:paraId="6CCD8D2F" w14:textId="77777777" w:rsidR="00994C27" w:rsidRPr="007D37CC" w:rsidRDefault="00994C27" w:rsidP="007D37CC"/>
    <w:sectPr w:rsidR="00994C27" w:rsidRPr="007D37CC" w:rsidSect="007D37CC">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331"/>
    <w:rsid w:val="001B1185"/>
    <w:rsid w:val="001D27E2"/>
    <w:rsid w:val="003B5991"/>
    <w:rsid w:val="005C2331"/>
    <w:rsid w:val="006409B0"/>
    <w:rsid w:val="007D37CC"/>
    <w:rsid w:val="00994C27"/>
    <w:rsid w:val="00AC0A51"/>
    <w:rsid w:val="00B42C53"/>
    <w:rsid w:val="00C41163"/>
    <w:rsid w:val="00D07662"/>
    <w:rsid w:val="00EC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6337"/>
  <w15:chartTrackingRefBased/>
  <w15:docId w15:val="{37082180-BD53-4D6A-BDE8-A0A573E5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331"/>
    <w:rPr>
      <w:rFonts w:eastAsiaTheme="majorEastAsia" w:cstheme="majorBidi"/>
      <w:color w:val="272727" w:themeColor="text1" w:themeTint="D8"/>
    </w:rPr>
  </w:style>
  <w:style w:type="paragraph" w:styleId="Title">
    <w:name w:val="Title"/>
    <w:basedOn w:val="Normal"/>
    <w:next w:val="Normal"/>
    <w:link w:val="TitleChar"/>
    <w:uiPriority w:val="10"/>
    <w:qFormat/>
    <w:rsid w:val="005C2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331"/>
    <w:pPr>
      <w:spacing w:before="160"/>
      <w:jc w:val="center"/>
    </w:pPr>
    <w:rPr>
      <w:i/>
      <w:iCs/>
      <w:color w:val="404040" w:themeColor="text1" w:themeTint="BF"/>
    </w:rPr>
  </w:style>
  <w:style w:type="character" w:customStyle="1" w:styleId="QuoteChar">
    <w:name w:val="Quote Char"/>
    <w:basedOn w:val="DefaultParagraphFont"/>
    <w:link w:val="Quote"/>
    <w:uiPriority w:val="29"/>
    <w:rsid w:val="005C2331"/>
    <w:rPr>
      <w:i/>
      <w:iCs/>
      <w:color w:val="404040" w:themeColor="text1" w:themeTint="BF"/>
    </w:rPr>
  </w:style>
  <w:style w:type="paragraph" w:styleId="ListParagraph">
    <w:name w:val="List Paragraph"/>
    <w:basedOn w:val="Normal"/>
    <w:uiPriority w:val="34"/>
    <w:qFormat/>
    <w:rsid w:val="005C2331"/>
    <w:pPr>
      <w:ind w:left="720"/>
      <w:contextualSpacing/>
    </w:pPr>
  </w:style>
  <w:style w:type="character" w:styleId="IntenseEmphasis">
    <w:name w:val="Intense Emphasis"/>
    <w:basedOn w:val="DefaultParagraphFont"/>
    <w:uiPriority w:val="21"/>
    <w:qFormat/>
    <w:rsid w:val="005C2331"/>
    <w:rPr>
      <w:i/>
      <w:iCs/>
      <w:color w:val="0F4761" w:themeColor="accent1" w:themeShade="BF"/>
    </w:rPr>
  </w:style>
  <w:style w:type="paragraph" w:styleId="IntenseQuote">
    <w:name w:val="Intense Quote"/>
    <w:basedOn w:val="Normal"/>
    <w:next w:val="Normal"/>
    <w:link w:val="IntenseQuoteChar"/>
    <w:uiPriority w:val="30"/>
    <w:qFormat/>
    <w:rsid w:val="005C2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331"/>
    <w:rPr>
      <w:i/>
      <w:iCs/>
      <w:color w:val="0F4761" w:themeColor="accent1" w:themeShade="BF"/>
    </w:rPr>
  </w:style>
  <w:style w:type="character" w:styleId="IntenseReference">
    <w:name w:val="Intense Reference"/>
    <w:basedOn w:val="DefaultParagraphFont"/>
    <w:uiPriority w:val="32"/>
    <w:qFormat/>
    <w:rsid w:val="005C2331"/>
    <w:rPr>
      <w:b/>
      <w:bCs/>
      <w:smallCaps/>
      <w:color w:val="0F4761" w:themeColor="accent1" w:themeShade="BF"/>
      <w:spacing w:val="5"/>
    </w:rPr>
  </w:style>
  <w:style w:type="character" w:styleId="BookTitle">
    <w:name w:val="Book Title"/>
    <w:basedOn w:val="DefaultParagraphFont"/>
    <w:uiPriority w:val="33"/>
    <w:qFormat/>
    <w:rsid w:val="00D07662"/>
    <w:rPr>
      <w:b/>
      <w:bCs/>
      <w:i/>
      <w:iCs/>
      <w:spacing w:val="5"/>
    </w:rPr>
  </w:style>
  <w:style w:type="paragraph" w:styleId="Caption">
    <w:name w:val="caption"/>
    <w:basedOn w:val="Normal"/>
    <w:next w:val="Normal"/>
    <w:uiPriority w:val="35"/>
    <w:semiHidden/>
    <w:unhideWhenUsed/>
    <w:qFormat/>
    <w:rsid w:val="00D07662"/>
    <w:pPr>
      <w:spacing w:after="200" w:line="240" w:lineRule="auto"/>
    </w:pPr>
    <w:rPr>
      <w:i/>
      <w:iCs/>
      <w:color w:val="0E2841" w:themeColor="text2"/>
      <w:sz w:val="18"/>
      <w:szCs w:val="18"/>
    </w:rPr>
  </w:style>
  <w:style w:type="character" w:styleId="Emphasis">
    <w:name w:val="Emphasis"/>
    <w:basedOn w:val="DefaultParagraphFont"/>
    <w:uiPriority w:val="20"/>
    <w:qFormat/>
    <w:rsid w:val="00D07662"/>
    <w:rPr>
      <w:i/>
      <w:iCs/>
    </w:rPr>
  </w:style>
  <w:style w:type="paragraph" w:styleId="NoSpacing">
    <w:name w:val="No Spacing"/>
    <w:uiPriority w:val="1"/>
    <w:qFormat/>
    <w:rsid w:val="00D07662"/>
    <w:pPr>
      <w:spacing w:after="0" w:line="240" w:lineRule="auto"/>
    </w:pPr>
  </w:style>
  <w:style w:type="character" w:styleId="Strong">
    <w:name w:val="Strong"/>
    <w:basedOn w:val="DefaultParagraphFont"/>
    <w:uiPriority w:val="22"/>
    <w:qFormat/>
    <w:rsid w:val="00D07662"/>
    <w:rPr>
      <w:b/>
      <w:bCs/>
    </w:rPr>
  </w:style>
  <w:style w:type="character" w:styleId="SubtleEmphasis">
    <w:name w:val="Subtle Emphasis"/>
    <w:basedOn w:val="DefaultParagraphFont"/>
    <w:uiPriority w:val="19"/>
    <w:qFormat/>
    <w:rsid w:val="00D07662"/>
    <w:rPr>
      <w:i/>
      <w:iCs/>
      <w:color w:val="404040" w:themeColor="text1" w:themeTint="BF"/>
    </w:rPr>
  </w:style>
  <w:style w:type="character" w:styleId="SubtleReference">
    <w:name w:val="Subtle Reference"/>
    <w:basedOn w:val="DefaultParagraphFont"/>
    <w:uiPriority w:val="31"/>
    <w:qFormat/>
    <w:rsid w:val="00D07662"/>
    <w:rPr>
      <w:smallCaps/>
      <w:color w:val="5A5A5A" w:themeColor="text1" w:themeTint="A5"/>
    </w:rPr>
  </w:style>
  <w:style w:type="paragraph" w:styleId="TOCHeading">
    <w:name w:val="TOC Heading"/>
    <w:basedOn w:val="Heading1"/>
    <w:next w:val="Normal"/>
    <w:uiPriority w:val="39"/>
    <w:semiHidden/>
    <w:unhideWhenUsed/>
    <w:qFormat/>
    <w:rsid w:val="00D07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davis</dc:creator>
  <cp:keywords/>
  <dc:description/>
  <cp:lastModifiedBy>william davis</cp:lastModifiedBy>
  <cp:revision>2</cp:revision>
  <dcterms:created xsi:type="dcterms:W3CDTF">2026-08-31T16:32:00Z</dcterms:created>
  <dcterms:modified xsi:type="dcterms:W3CDTF">2026-08-31T16:32:00Z</dcterms:modified>
</cp:coreProperties>
</file>