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320D6" w14:textId="77777777" w:rsidR="00AE531B" w:rsidRDefault="00AE531B">
      <w:pPr>
        <w:pBdr>
          <w:bottom w:val="single" w:sz="6" w:space="0" w:color="1A3A5C"/>
        </w:pBdr>
        <w:spacing w:before="240" w:after="240"/>
      </w:pPr>
    </w:p>
    <w:p w14:paraId="218FAC41" w14:textId="77777777" w:rsidR="00AE531B" w:rsidRDefault="00C90EC8">
      <w:pPr>
        <w:spacing w:after="80" w:line="360" w:lineRule="auto"/>
      </w:pPr>
      <w:r>
        <w:rPr>
          <w:rFonts w:ascii="Calibri" w:eastAsia="Calibri" w:hAnsi="Calibri" w:cs="Calibri"/>
          <w:b/>
          <w:bCs/>
          <w:color w:val="000000"/>
          <w:spacing w:val="10"/>
          <w:sz w:val="22"/>
          <w:szCs w:val="22"/>
        </w:rPr>
        <w:t>Patio Homes of Chestnut Creek Homeowners Association</w:t>
      </w:r>
    </w:p>
    <w:p w14:paraId="1FCFEC6B" w14:textId="77777777" w:rsidR="00AE531B" w:rsidRDefault="00C90EC8">
      <w:pPr>
        <w:spacing w:after="80" w:line="360" w:lineRule="auto"/>
      </w:pPr>
      <w:r>
        <w:rPr>
          <w:rFonts w:ascii="Calibri" w:eastAsia="Calibri" w:hAnsi="Calibri" w:cs="Calibri"/>
          <w:b/>
          <w:bCs/>
          <w:color w:val="000000"/>
          <w:sz w:val="22"/>
          <w:szCs w:val="22"/>
        </w:rPr>
        <w:t>Treasurer's Report</w:t>
      </w:r>
    </w:p>
    <w:p w14:paraId="06AD7E32" w14:textId="77777777" w:rsidR="00AE531B" w:rsidRDefault="00C90EC8">
      <w:pPr>
        <w:spacing w:after="60" w:line="360" w:lineRule="auto"/>
      </w:pPr>
      <w:r>
        <w:rPr>
          <w:rFonts w:ascii="Calibri" w:eastAsia="Calibri" w:hAnsi="Calibri" w:cs="Calibri"/>
          <w:color w:val="000000"/>
          <w:sz w:val="22"/>
          <w:szCs w:val="22"/>
        </w:rPr>
        <w:t xml:space="preserve">For the Period Ending June 30, </w:t>
      </w:r>
      <w:proofErr w:type="gramStart"/>
      <w:r>
        <w:rPr>
          <w:rFonts w:ascii="Calibri" w:eastAsia="Calibri" w:hAnsi="Calibri" w:cs="Calibri"/>
          <w:color w:val="000000"/>
          <w:sz w:val="22"/>
          <w:szCs w:val="22"/>
        </w:rPr>
        <w:t>2026  |</w:t>
      </w:r>
      <w:proofErr w:type="gramEnd"/>
      <w:r>
        <w:rPr>
          <w:rFonts w:ascii="Calibri" w:eastAsia="Calibri" w:hAnsi="Calibri" w:cs="Calibri"/>
          <w:color w:val="000000"/>
          <w:sz w:val="22"/>
          <w:szCs w:val="22"/>
        </w:rPr>
        <w:t xml:space="preserve">  Mid-Year Financial Summary</w:t>
      </w:r>
    </w:p>
    <w:p w14:paraId="48CEF5EB" w14:textId="77777777" w:rsidR="00AE531B" w:rsidRDefault="00AE531B">
      <w:pPr>
        <w:spacing w:before="2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11"/>
        <w:gridCol w:w="5054"/>
        <w:gridCol w:w="1217"/>
        <w:gridCol w:w="1778"/>
      </w:tblGrid>
      <w:tr w:rsidR="00AE531B" w14:paraId="371BA4FC" w14:textId="77777777">
        <w:tc>
          <w:tcPr>
            <w:tcW w:w="700" w:type="pct"/>
            <w:tcMar>
              <w:top w:w="90" w:type="dxa"/>
              <w:left w:w="135" w:type="dxa"/>
              <w:bottom w:w="90" w:type="dxa"/>
              <w:right w:w="135" w:type="dxa"/>
            </w:tcMar>
          </w:tcPr>
          <w:p w14:paraId="46BD0339" w14:textId="77777777" w:rsidR="00AE531B" w:rsidRDefault="00C90EC8">
            <w:r>
              <w:rPr>
                <w:rFonts w:ascii="Calibri" w:eastAsia="Calibri" w:hAnsi="Calibri" w:cs="Calibri"/>
                <w:color w:val="333333"/>
                <w:sz w:val="20"/>
                <w:szCs w:val="20"/>
              </w:rPr>
              <w:t>Prepared By:</w:t>
            </w:r>
          </w:p>
        </w:tc>
        <w:tc>
          <w:tcPr>
            <w:tcW w:w="2700" w:type="pct"/>
            <w:tcMar>
              <w:top w:w="90" w:type="dxa"/>
              <w:left w:w="135" w:type="dxa"/>
              <w:bottom w:w="90" w:type="dxa"/>
              <w:right w:w="135" w:type="dxa"/>
            </w:tcMar>
          </w:tcPr>
          <w:p w14:paraId="5C318D27" w14:textId="1674C530" w:rsidR="00AE531B" w:rsidRDefault="009347E5">
            <w:r>
              <w:rPr>
                <w:rFonts w:ascii="Calibri" w:eastAsia="Calibri" w:hAnsi="Calibri" w:cs="Calibri"/>
                <w:color w:val="333333"/>
                <w:sz w:val="20"/>
                <w:szCs w:val="20"/>
              </w:rPr>
              <w:t>Bill Davis</w:t>
            </w:r>
          </w:p>
        </w:tc>
        <w:tc>
          <w:tcPr>
            <w:tcW w:w="650" w:type="pct"/>
            <w:tcMar>
              <w:top w:w="90" w:type="dxa"/>
              <w:left w:w="135" w:type="dxa"/>
              <w:bottom w:w="90" w:type="dxa"/>
              <w:right w:w="135" w:type="dxa"/>
            </w:tcMar>
          </w:tcPr>
          <w:p w14:paraId="7400FD23" w14:textId="77777777" w:rsidR="00AE531B" w:rsidRDefault="00C90EC8">
            <w:r>
              <w:rPr>
                <w:rFonts w:ascii="Calibri" w:eastAsia="Calibri" w:hAnsi="Calibri" w:cs="Calibri"/>
                <w:color w:val="333333"/>
                <w:sz w:val="20"/>
                <w:szCs w:val="20"/>
              </w:rPr>
              <w:t>Report Date:</w:t>
            </w:r>
          </w:p>
        </w:tc>
        <w:tc>
          <w:tcPr>
            <w:tcW w:w="950" w:type="pct"/>
            <w:tcMar>
              <w:top w:w="90" w:type="dxa"/>
              <w:left w:w="135" w:type="dxa"/>
              <w:bottom w:w="90" w:type="dxa"/>
              <w:right w:w="135" w:type="dxa"/>
            </w:tcMar>
          </w:tcPr>
          <w:p w14:paraId="64FC1E1A" w14:textId="77777777" w:rsidR="00AE531B" w:rsidRDefault="00C90EC8">
            <w:r>
              <w:rPr>
                <w:rFonts w:ascii="Calibri" w:eastAsia="Calibri" w:hAnsi="Calibri" w:cs="Calibri"/>
                <w:color w:val="333333"/>
                <w:sz w:val="20"/>
                <w:szCs w:val="20"/>
              </w:rPr>
              <w:t>August 2026</w:t>
            </w:r>
          </w:p>
        </w:tc>
      </w:tr>
      <w:tr w:rsidR="00AE531B" w14:paraId="6E5A89F5" w14:textId="77777777">
        <w:tc>
          <w:tcPr>
            <w:tcW w:w="700" w:type="pct"/>
            <w:tcMar>
              <w:top w:w="90" w:type="dxa"/>
              <w:left w:w="135" w:type="dxa"/>
              <w:bottom w:w="90" w:type="dxa"/>
              <w:right w:w="135" w:type="dxa"/>
            </w:tcMar>
          </w:tcPr>
          <w:p w14:paraId="3A9533B6" w14:textId="77777777" w:rsidR="00AE531B" w:rsidRDefault="00C90EC8">
            <w:r>
              <w:rPr>
                <w:rFonts w:ascii="Calibri" w:eastAsia="Calibri" w:hAnsi="Calibri" w:cs="Calibri"/>
                <w:color w:val="333333"/>
                <w:sz w:val="20"/>
                <w:szCs w:val="20"/>
              </w:rPr>
              <w:t>Reporting Period:</w:t>
            </w:r>
          </w:p>
        </w:tc>
        <w:tc>
          <w:tcPr>
            <w:tcW w:w="2700" w:type="pct"/>
            <w:tcMar>
              <w:top w:w="90" w:type="dxa"/>
              <w:left w:w="135" w:type="dxa"/>
              <w:bottom w:w="90" w:type="dxa"/>
              <w:right w:w="135" w:type="dxa"/>
            </w:tcMar>
          </w:tcPr>
          <w:p w14:paraId="08ED90A2" w14:textId="77777777" w:rsidR="00AE531B" w:rsidRDefault="00C90EC8">
            <w:r>
              <w:rPr>
                <w:rFonts w:ascii="Calibri" w:eastAsia="Calibri" w:hAnsi="Calibri" w:cs="Calibri"/>
                <w:color w:val="333333"/>
                <w:sz w:val="20"/>
                <w:szCs w:val="20"/>
              </w:rPr>
              <w:t>January 1, 2026 – June 30, 2026</w:t>
            </w:r>
          </w:p>
        </w:tc>
        <w:tc>
          <w:tcPr>
            <w:tcW w:w="650" w:type="pct"/>
            <w:tcMar>
              <w:top w:w="90" w:type="dxa"/>
              <w:left w:w="135" w:type="dxa"/>
              <w:bottom w:w="90" w:type="dxa"/>
              <w:right w:w="135" w:type="dxa"/>
            </w:tcMar>
          </w:tcPr>
          <w:p w14:paraId="1CD23D38" w14:textId="77777777" w:rsidR="00AE531B" w:rsidRDefault="00C90EC8">
            <w:r>
              <w:rPr>
                <w:rFonts w:ascii="Calibri" w:eastAsia="Calibri" w:hAnsi="Calibri" w:cs="Calibri"/>
                <w:color w:val="333333"/>
                <w:sz w:val="20"/>
                <w:szCs w:val="20"/>
              </w:rPr>
              <w:t>Distributed To:</w:t>
            </w:r>
          </w:p>
        </w:tc>
        <w:tc>
          <w:tcPr>
            <w:tcW w:w="950" w:type="pct"/>
            <w:tcMar>
              <w:top w:w="90" w:type="dxa"/>
              <w:left w:w="135" w:type="dxa"/>
              <w:bottom w:w="90" w:type="dxa"/>
              <w:right w:w="135" w:type="dxa"/>
            </w:tcMar>
          </w:tcPr>
          <w:p w14:paraId="488340D2" w14:textId="77777777" w:rsidR="00AE531B" w:rsidRDefault="00C90EC8">
            <w:r>
              <w:rPr>
                <w:rFonts w:ascii="Calibri" w:eastAsia="Calibri" w:hAnsi="Calibri" w:cs="Calibri"/>
                <w:color w:val="333333"/>
                <w:sz w:val="20"/>
                <w:szCs w:val="20"/>
              </w:rPr>
              <w:t>Residents &amp; Board of Directors</w:t>
            </w:r>
          </w:p>
        </w:tc>
      </w:tr>
      <w:tr w:rsidR="00AE531B" w14:paraId="55D39803" w14:textId="77777777">
        <w:tc>
          <w:tcPr>
            <w:tcW w:w="700" w:type="pct"/>
            <w:tcMar>
              <w:top w:w="90" w:type="dxa"/>
              <w:left w:w="135" w:type="dxa"/>
              <w:bottom w:w="90" w:type="dxa"/>
              <w:right w:w="135" w:type="dxa"/>
            </w:tcMar>
          </w:tcPr>
          <w:p w14:paraId="226B7BC2" w14:textId="77777777" w:rsidR="00AE531B" w:rsidRDefault="00C90EC8">
            <w:r>
              <w:rPr>
                <w:rFonts w:ascii="Calibri" w:eastAsia="Calibri" w:hAnsi="Calibri" w:cs="Calibri"/>
                <w:color w:val="333333"/>
                <w:sz w:val="20"/>
                <w:szCs w:val="20"/>
              </w:rPr>
              <w:t>Source:</w:t>
            </w:r>
          </w:p>
        </w:tc>
        <w:tc>
          <w:tcPr>
            <w:tcW w:w="2700" w:type="pct"/>
            <w:gridSpan w:val="3"/>
            <w:tcMar>
              <w:top w:w="90" w:type="dxa"/>
              <w:left w:w="135" w:type="dxa"/>
              <w:bottom w:w="90" w:type="dxa"/>
              <w:right w:w="135" w:type="dxa"/>
            </w:tcMar>
          </w:tcPr>
          <w:p w14:paraId="10778FC8" w14:textId="77777777" w:rsidR="00AE531B" w:rsidRDefault="00C90EC8">
            <w:r>
              <w:rPr>
                <w:rFonts w:ascii="Calibri" w:eastAsia="Calibri" w:hAnsi="Calibri" w:cs="Calibri"/>
                <w:color w:val="333333"/>
                <w:sz w:val="20"/>
                <w:szCs w:val="20"/>
              </w:rPr>
              <w:t xml:space="preserve">Based on </w:t>
            </w:r>
            <w:proofErr w:type="gramStart"/>
            <w:r>
              <w:rPr>
                <w:rFonts w:ascii="Calibri" w:eastAsia="Calibri" w:hAnsi="Calibri" w:cs="Calibri"/>
                <w:color w:val="333333"/>
                <w:sz w:val="20"/>
                <w:szCs w:val="20"/>
              </w:rPr>
              <w:t>the June</w:t>
            </w:r>
            <w:proofErr w:type="gramEnd"/>
            <w:r>
              <w:rPr>
                <w:rFonts w:ascii="Calibri" w:eastAsia="Calibri" w:hAnsi="Calibri" w:cs="Calibri"/>
                <w:color w:val="333333"/>
                <w:sz w:val="20"/>
                <w:szCs w:val="20"/>
              </w:rPr>
              <w:t xml:space="preserve"> 30, </w:t>
            </w:r>
            <w:proofErr w:type="gramStart"/>
            <w:r>
              <w:rPr>
                <w:rFonts w:ascii="Calibri" w:eastAsia="Calibri" w:hAnsi="Calibri" w:cs="Calibri"/>
                <w:color w:val="333333"/>
                <w:sz w:val="20"/>
                <w:szCs w:val="20"/>
              </w:rPr>
              <w:t>2026</w:t>
            </w:r>
            <w:proofErr w:type="gramEnd"/>
            <w:r>
              <w:rPr>
                <w:rFonts w:ascii="Calibri" w:eastAsia="Calibri" w:hAnsi="Calibri" w:cs="Calibri"/>
                <w:color w:val="333333"/>
                <w:sz w:val="20"/>
                <w:szCs w:val="20"/>
              </w:rPr>
              <w:t xml:space="preserve"> Financial Report available to all residents at </w:t>
            </w:r>
            <w:r>
              <w:rPr>
                <w:rFonts w:ascii="Calibri" w:eastAsia="Calibri" w:hAnsi="Calibri" w:cs="Calibri"/>
                <w:b/>
                <w:bCs/>
                <w:color w:val="000000"/>
                <w:sz w:val="22"/>
                <w:szCs w:val="22"/>
              </w:rPr>
              <w:t>thepatioschestnutcreek.com</w:t>
            </w:r>
            <w:r>
              <w:rPr>
                <w:rFonts w:ascii="Calibri" w:eastAsia="Calibri" w:hAnsi="Calibri" w:cs="Calibri"/>
                <w:color w:val="333333"/>
                <w:sz w:val="20"/>
                <w:szCs w:val="20"/>
              </w:rPr>
              <w:t xml:space="preserve"> and through the Sunstate website.</w:t>
            </w:r>
          </w:p>
        </w:tc>
      </w:tr>
    </w:tbl>
    <w:p w14:paraId="317B9950" w14:textId="77777777" w:rsidR="00AE531B" w:rsidRDefault="00AE531B">
      <w:pPr>
        <w:spacing w:after="200"/>
      </w:pPr>
    </w:p>
    <w:p w14:paraId="6DB54CF4" w14:textId="77777777" w:rsidR="00AE531B" w:rsidRDefault="00AE531B">
      <w:pPr>
        <w:pBdr>
          <w:bottom w:val="single" w:sz="6" w:space="0" w:color="1A3A5C"/>
        </w:pBdr>
        <w:spacing w:before="240" w:after="240"/>
      </w:pPr>
    </w:p>
    <w:p w14:paraId="5F562400" w14:textId="77777777" w:rsidR="00AE531B" w:rsidRDefault="00C90EC8">
      <w:pPr>
        <w:spacing w:before="60" w:after="60" w:line="360" w:lineRule="auto"/>
      </w:pPr>
      <w:r>
        <w:rPr>
          <w:rFonts w:ascii="Calibri" w:eastAsia="Calibri" w:hAnsi="Calibri" w:cs="Calibri"/>
          <w:color w:val="555555"/>
          <w:spacing w:val="16"/>
          <w:sz w:val="18"/>
          <w:szCs w:val="18"/>
        </w:rPr>
        <w:t>SECTION 1</w:t>
      </w:r>
    </w:p>
    <w:p w14:paraId="06AFFB7B" w14:textId="77777777" w:rsidR="00AE531B" w:rsidRDefault="00C90EC8">
      <w:pPr>
        <w:pStyle w:val="Heading1"/>
        <w:spacing w:before="440" w:after="120" w:line="312" w:lineRule="auto"/>
      </w:pPr>
      <w:r>
        <w:rPr>
          <w:rFonts w:ascii="Calibri" w:eastAsia="Calibri" w:hAnsi="Calibri" w:cs="Calibri"/>
          <w:color w:val="1A3A5C"/>
          <w:sz w:val="40"/>
          <w:szCs w:val="40"/>
        </w:rPr>
        <w:t>Executive Summary</w:t>
      </w:r>
    </w:p>
    <w:p w14:paraId="284F4B3E" w14:textId="77777777" w:rsidR="00AE531B" w:rsidRDefault="00C90EC8">
      <w:pPr>
        <w:spacing w:before="60" w:after="240" w:line="360" w:lineRule="auto"/>
      </w:pPr>
      <w:r>
        <w:rPr>
          <w:rFonts w:ascii="Calibri" w:eastAsia="Calibri" w:hAnsi="Calibri" w:cs="Calibri"/>
          <w:color w:val="000000"/>
          <w:sz w:val="22"/>
          <w:szCs w:val="22"/>
        </w:rPr>
        <w:t xml:space="preserve">The Patios currently averages approximately </w:t>
      </w:r>
      <w:r>
        <w:rPr>
          <w:rFonts w:ascii="Calibri" w:eastAsia="Calibri" w:hAnsi="Calibri" w:cs="Calibri"/>
          <w:b/>
          <w:bCs/>
          <w:color w:val="000000"/>
          <w:sz w:val="22"/>
          <w:szCs w:val="22"/>
        </w:rPr>
        <w:t>$28,000 in monthly operating expenses.</w:t>
      </w:r>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Industry</w:t>
      </w:r>
      <w:proofErr w:type="gramEnd"/>
      <w:r>
        <w:rPr>
          <w:rFonts w:ascii="Calibri" w:eastAsia="Calibri" w:hAnsi="Calibri" w:cs="Calibri"/>
          <w:color w:val="000000"/>
          <w:sz w:val="22"/>
          <w:szCs w:val="22"/>
        </w:rPr>
        <w:t xml:space="preserve"> best practices recommend HOAs maintain one to two months of average monthly expenses in operating reserves. As of June 30, 2026, our operating reserve balance stands at approximately </w:t>
      </w:r>
      <w:r>
        <w:rPr>
          <w:rFonts w:ascii="Calibri" w:eastAsia="Calibri" w:hAnsi="Calibri" w:cs="Calibri"/>
          <w:b/>
          <w:bCs/>
          <w:color w:val="000000"/>
          <w:sz w:val="22"/>
          <w:szCs w:val="22"/>
        </w:rPr>
        <w:t>$37,000</w:t>
      </w:r>
      <w:r>
        <w:rPr>
          <w:rFonts w:ascii="Calibri" w:eastAsia="Calibri" w:hAnsi="Calibri" w:cs="Calibri"/>
          <w:color w:val="000000"/>
          <w:sz w:val="22"/>
          <w:szCs w:val="22"/>
        </w:rPr>
        <w:t xml:space="preserve"> — satisfying the one-month benchmark. Reaching the two-month goal of approximately </w:t>
      </w:r>
      <w:r>
        <w:rPr>
          <w:rFonts w:ascii="Calibri" w:eastAsia="Calibri" w:hAnsi="Calibri" w:cs="Calibri"/>
          <w:b/>
          <w:bCs/>
          <w:color w:val="000000"/>
          <w:sz w:val="22"/>
          <w:szCs w:val="22"/>
        </w:rPr>
        <w:t>$56,000</w:t>
      </w:r>
      <w:r>
        <w:rPr>
          <w:rFonts w:ascii="Calibri" w:eastAsia="Calibri" w:hAnsi="Calibri" w:cs="Calibri"/>
          <w:color w:val="000000"/>
          <w:sz w:val="22"/>
          <w:szCs w:val="22"/>
        </w:rPr>
        <w:t xml:space="preserve"> is achievable; however, doing so requires that all residents remain current on their monthly HOA assessments. </w:t>
      </w:r>
      <w:proofErr w:type="gramStart"/>
      <w:r>
        <w:rPr>
          <w:rFonts w:ascii="Calibri" w:eastAsia="Calibri" w:hAnsi="Calibri" w:cs="Calibri"/>
          <w:color w:val="000000"/>
          <w:sz w:val="22"/>
          <w:szCs w:val="22"/>
        </w:rPr>
        <w:t>At this time</w:t>
      </w:r>
      <w:proofErr w:type="gramEnd"/>
      <w:r>
        <w:rPr>
          <w:rFonts w:ascii="Calibri" w:eastAsia="Calibri" w:hAnsi="Calibri" w:cs="Calibri"/>
          <w:color w:val="000000"/>
          <w:sz w:val="22"/>
          <w:szCs w:val="22"/>
        </w:rPr>
        <w:t xml:space="preserve">, </w:t>
      </w:r>
      <w:r>
        <w:rPr>
          <w:rFonts w:ascii="Calibri" w:eastAsia="Calibri" w:hAnsi="Calibri" w:cs="Calibri"/>
          <w:b/>
          <w:bCs/>
          <w:color w:val="8B1A1A"/>
          <w:sz w:val="22"/>
          <w:szCs w:val="22"/>
        </w:rPr>
        <w:t>more than 16 residents are in arrears</w:t>
      </w:r>
      <w:r>
        <w:rPr>
          <w:rFonts w:ascii="Calibri" w:eastAsia="Calibri" w:hAnsi="Calibri" w:cs="Calibri"/>
          <w:color w:val="000000"/>
          <w:sz w:val="22"/>
          <w:szCs w:val="22"/>
        </w:rPr>
        <w:t>, which is directly impacting our ability to reach this goal.</w:t>
      </w:r>
    </w:p>
    <w:p w14:paraId="05064DC9" w14:textId="77777777" w:rsidR="00AE531B" w:rsidRDefault="00C90EC8">
      <w:pPr>
        <w:spacing w:before="60" w:after="240" w:line="360" w:lineRule="auto"/>
      </w:pPr>
      <w:r>
        <w:rPr>
          <w:rFonts w:ascii="Calibri" w:eastAsia="Calibri" w:hAnsi="Calibri" w:cs="Calibri"/>
          <w:color w:val="000000"/>
          <w:sz w:val="22"/>
          <w:szCs w:val="22"/>
        </w:rPr>
        <w:t xml:space="preserve">Operating results through mid-year are mixed. Total operating income is running approximately </w:t>
      </w:r>
      <w:r>
        <w:rPr>
          <w:rFonts w:ascii="Calibri" w:eastAsia="Calibri" w:hAnsi="Calibri" w:cs="Calibri"/>
          <w:b/>
          <w:bCs/>
          <w:color w:val="8B1A1A"/>
          <w:sz w:val="22"/>
          <w:szCs w:val="22"/>
        </w:rPr>
        <w:t>~$9,000 below budget</w:t>
      </w:r>
      <w:r>
        <w:rPr>
          <w:rFonts w:ascii="Calibri" w:eastAsia="Calibri" w:hAnsi="Calibri" w:cs="Calibri"/>
          <w:color w:val="000000"/>
          <w:sz w:val="22"/>
          <w:szCs w:val="22"/>
        </w:rPr>
        <w:t>, driven primarily by assessment collection shortfalls and a timing-related variance in reserve interest income. Administrative costs are running over budget, while grounds-related expenses are performing well ahead of budget — providing a meaningful offset. The board is managing these dynamics proactively and is committed to closing the year within budget without a special assessment to residents.</w:t>
      </w:r>
    </w:p>
    <w:p w14:paraId="5DE2DDB4" w14:textId="77777777" w:rsidR="00AE531B" w:rsidRDefault="00C90EC8">
      <w:pPr>
        <w:spacing w:before="60" w:after="240" w:line="360" w:lineRule="auto"/>
      </w:pPr>
      <w:r>
        <w:rPr>
          <w:rFonts w:ascii="Calibri" w:eastAsia="Calibri" w:hAnsi="Calibri" w:cs="Calibri"/>
          <w:color w:val="000000"/>
          <w:sz w:val="22"/>
          <w:szCs w:val="22"/>
        </w:rPr>
        <w:t xml:space="preserve">Reserve accounts remain in sound condition. Other than a planned </w:t>
      </w:r>
      <w:proofErr w:type="gramStart"/>
      <w:r>
        <w:rPr>
          <w:rFonts w:ascii="Calibri" w:eastAsia="Calibri" w:hAnsi="Calibri" w:cs="Calibri"/>
          <w:color w:val="000000"/>
          <w:sz w:val="22"/>
          <w:szCs w:val="22"/>
        </w:rPr>
        <w:t>draw</w:t>
      </w:r>
      <w:proofErr w:type="gramEnd"/>
      <w:r>
        <w:rPr>
          <w:rFonts w:ascii="Calibri" w:eastAsia="Calibri" w:hAnsi="Calibri" w:cs="Calibri"/>
          <w:color w:val="000000"/>
          <w:sz w:val="22"/>
          <w:szCs w:val="22"/>
        </w:rPr>
        <w:t xml:space="preserve"> of approximately </w:t>
      </w:r>
      <w:r>
        <w:rPr>
          <w:rFonts w:ascii="Calibri" w:eastAsia="Calibri" w:hAnsi="Calibri" w:cs="Calibri"/>
          <w:b/>
          <w:bCs/>
          <w:color w:val="000000"/>
          <w:sz w:val="22"/>
          <w:szCs w:val="22"/>
        </w:rPr>
        <w:t>$21,500</w:t>
      </w:r>
      <w:r>
        <w:rPr>
          <w:rFonts w:ascii="Calibri" w:eastAsia="Calibri" w:hAnsi="Calibri" w:cs="Calibri"/>
          <w:color w:val="000000"/>
          <w:sz w:val="22"/>
          <w:szCs w:val="22"/>
        </w:rPr>
        <w:t xml:space="preserve"> from the Irrigation Pumps reserve to fund the newly approved modern irrigation system, no other reserve </w:t>
      </w:r>
      <w:r>
        <w:rPr>
          <w:rFonts w:ascii="Calibri" w:eastAsia="Calibri" w:hAnsi="Calibri" w:cs="Calibri"/>
          <w:color w:val="000000"/>
          <w:sz w:val="22"/>
          <w:szCs w:val="22"/>
        </w:rPr>
        <w:lastRenderedPageBreak/>
        <w:t xml:space="preserve">funds have been required. Replenishment of those funds is underway from favorable operating variances. Full </w:t>
      </w:r>
      <w:proofErr w:type="gramStart"/>
      <w:r>
        <w:rPr>
          <w:rFonts w:ascii="Calibri" w:eastAsia="Calibri" w:hAnsi="Calibri" w:cs="Calibri"/>
          <w:color w:val="000000"/>
          <w:sz w:val="22"/>
          <w:szCs w:val="22"/>
        </w:rPr>
        <w:t>detail</w:t>
      </w:r>
      <w:proofErr w:type="gramEnd"/>
      <w:r>
        <w:rPr>
          <w:rFonts w:ascii="Calibri" w:eastAsia="Calibri" w:hAnsi="Calibri" w:cs="Calibri"/>
          <w:color w:val="000000"/>
          <w:sz w:val="22"/>
          <w:szCs w:val="22"/>
        </w:rPr>
        <w:t xml:space="preserve"> on reserve category status is provided in Section 4.</w:t>
      </w:r>
    </w:p>
    <w:p w14:paraId="63601961" w14:textId="77777777" w:rsidR="00AE531B" w:rsidRDefault="00AE531B">
      <w:pPr>
        <w:pBdr>
          <w:bottom w:val="single" w:sz="6" w:space="0" w:color="000000"/>
        </w:pBdr>
        <w:spacing w:before="240" w:after="240"/>
      </w:pPr>
    </w:p>
    <w:p w14:paraId="78BA9A04" w14:textId="77777777" w:rsidR="00AE531B" w:rsidRDefault="00C90EC8">
      <w:pPr>
        <w:spacing w:before="60" w:after="60" w:line="360" w:lineRule="auto"/>
      </w:pPr>
      <w:r>
        <w:rPr>
          <w:rFonts w:ascii="Calibri" w:eastAsia="Calibri" w:hAnsi="Calibri" w:cs="Calibri"/>
          <w:color w:val="555555"/>
          <w:spacing w:val="16"/>
          <w:sz w:val="18"/>
          <w:szCs w:val="18"/>
        </w:rPr>
        <w:t>SECTION 2</w:t>
      </w:r>
    </w:p>
    <w:p w14:paraId="29B38E5B" w14:textId="77777777" w:rsidR="00AE531B" w:rsidRDefault="00C90EC8">
      <w:pPr>
        <w:pStyle w:val="Heading1"/>
        <w:spacing w:before="440" w:after="120" w:line="312" w:lineRule="auto"/>
      </w:pPr>
      <w:r>
        <w:rPr>
          <w:rFonts w:ascii="Calibri" w:eastAsia="Calibri" w:hAnsi="Calibri" w:cs="Calibri"/>
          <w:color w:val="1A3A5C"/>
          <w:sz w:val="40"/>
          <w:szCs w:val="40"/>
        </w:rPr>
        <w:t>Operating Budget Analysis</w:t>
      </w:r>
    </w:p>
    <w:p w14:paraId="6868F91F" w14:textId="77777777" w:rsidR="00AE531B" w:rsidRDefault="00C90EC8">
      <w:pPr>
        <w:pStyle w:val="Heading2"/>
        <w:spacing w:before="320" w:after="80" w:line="312" w:lineRule="auto"/>
      </w:pPr>
      <w:r>
        <w:rPr>
          <w:rFonts w:ascii="Calibri" w:eastAsia="Calibri" w:hAnsi="Calibri" w:cs="Calibri"/>
          <w:color w:val="1A3A5C"/>
          <w:sz w:val="28"/>
          <w:szCs w:val="28"/>
        </w:rPr>
        <w:t>Year-to-Date Through June 30, 2026</w:t>
      </w:r>
    </w:p>
    <w:p w14:paraId="1E29FFB8" w14:textId="77777777" w:rsidR="00AE531B" w:rsidRDefault="00C90EC8">
      <w:pPr>
        <w:spacing w:before="60" w:after="240" w:line="360" w:lineRule="auto"/>
      </w:pPr>
      <w:r>
        <w:rPr>
          <w:rFonts w:ascii="Calibri" w:eastAsia="Calibri" w:hAnsi="Calibri" w:cs="Calibri"/>
          <w:color w:val="000000"/>
          <w:sz w:val="22"/>
          <w:szCs w:val="22"/>
        </w:rPr>
        <w:t xml:space="preserve">The table below summarizes year-to-date operating results as of June 30, 2026. All figures are </w:t>
      </w:r>
      <w:r>
        <w:rPr>
          <w:rFonts w:ascii="Calibri" w:eastAsia="Calibri" w:hAnsi="Calibri" w:cs="Calibri"/>
          <w:i/>
          <w:iCs/>
          <w:color w:val="000000"/>
          <w:sz w:val="22"/>
          <w:szCs w:val="22"/>
        </w:rPr>
        <w:t>approximate</w:t>
      </w:r>
      <w:r>
        <w:rPr>
          <w:rFonts w:ascii="Calibri" w:eastAsia="Calibri" w:hAnsi="Calibri" w:cs="Calibri"/>
          <w:color w:val="000000"/>
          <w:sz w:val="22"/>
          <w:szCs w:val="22"/>
        </w:rPr>
        <w:t>. Final reviewed or audited figures may differ.</w:t>
      </w:r>
    </w:p>
    <w:p w14:paraId="4C43E712" w14:textId="77777777" w:rsidR="00AE531B" w:rsidRDefault="00AE531B">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3365"/>
        <w:gridCol w:w="1402"/>
        <w:gridCol w:w="1403"/>
        <w:gridCol w:w="1777"/>
        <w:gridCol w:w="1403"/>
      </w:tblGrid>
      <w:tr w:rsidR="00AE531B" w14:paraId="6F32EC9E" w14:textId="77777777">
        <w:trPr>
          <w:tblHeader/>
        </w:trPr>
        <w:tc>
          <w:tcPr>
            <w:tcW w:w="1800" w:type="pct"/>
            <w:shd w:val="clear" w:color="auto" w:fill="1A3A5C"/>
            <w:tcMar>
              <w:top w:w="90" w:type="dxa"/>
              <w:left w:w="135" w:type="dxa"/>
              <w:bottom w:w="90" w:type="dxa"/>
              <w:right w:w="135" w:type="dxa"/>
            </w:tcMar>
          </w:tcPr>
          <w:p w14:paraId="64048457" w14:textId="77777777" w:rsidR="00AE531B" w:rsidRDefault="00C90EC8">
            <w:r>
              <w:rPr>
                <w:rFonts w:ascii="Calibri" w:eastAsia="Calibri" w:hAnsi="Calibri" w:cs="Calibri"/>
                <w:b/>
                <w:bCs/>
                <w:color w:val="FFFFFF"/>
                <w:sz w:val="22"/>
                <w:szCs w:val="22"/>
              </w:rPr>
              <w:t>Category</w:t>
            </w:r>
          </w:p>
        </w:tc>
        <w:tc>
          <w:tcPr>
            <w:tcW w:w="750" w:type="pct"/>
            <w:shd w:val="clear" w:color="auto" w:fill="1A3A5C"/>
            <w:tcMar>
              <w:top w:w="90" w:type="dxa"/>
              <w:left w:w="135" w:type="dxa"/>
              <w:bottom w:w="90" w:type="dxa"/>
              <w:right w:w="135" w:type="dxa"/>
            </w:tcMar>
          </w:tcPr>
          <w:p w14:paraId="1C55DF8A" w14:textId="77777777" w:rsidR="00AE531B" w:rsidRDefault="00C90EC8">
            <w:r>
              <w:rPr>
                <w:rFonts w:ascii="Calibri" w:eastAsia="Calibri" w:hAnsi="Calibri" w:cs="Calibri"/>
                <w:b/>
                <w:bCs/>
                <w:color w:val="FFFFFF"/>
                <w:sz w:val="22"/>
                <w:szCs w:val="22"/>
              </w:rPr>
              <w:t>YTD Budget</w:t>
            </w:r>
          </w:p>
        </w:tc>
        <w:tc>
          <w:tcPr>
            <w:tcW w:w="750" w:type="pct"/>
            <w:shd w:val="clear" w:color="auto" w:fill="1A3A5C"/>
            <w:tcMar>
              <w:top w:w="90" w:type="dxa"/>
              <w:left w:w="135" w:type="dxa"/>
              <w:bottom w:w="90" w:type="dxa"/>
              <w:right w:w="135" w:type="dxa"/>
            </w:tcMar>
          </w:tcPr>
          <w:p w14:paraId="256D741F" w14:textId="77777777" w:rsidR="00AE531B" w:rsidRDefault="00C90EC8">
            <w:r>
              <w:rPr>
                <w:rFonts w:ascii="Calibri" w:eastAsia="Calibri" w:hAnsi="Calibri" w:cs="Calibri"/>
                <w:b/>
                <w:bCs/>
                <w:color w:val="FFFFFF"/>
                <w:sz w:val="22"/>
                <w:szCs w:val="22"/>
              </w:rPr>
              <w:t>YTD Actual</w:t>
            </w:r>
          </w:p>
        </w:tc>
        <w:tc>
          <w:tcPr>
            <w:tcW w:w="950" w:type="pct"/>
            <w:shd w:val="clear" w:color="auto" w:fill="1A3A5C"/>
            <w:tcMar>
              <w:top w:w="90" w:type="dxa"/>
              <w:left w:w="135" w:type="dxa"/>
              <w:bottom w:w="90" w:type="dxa"/>
              <w:right w:w="135" w:type="dxa"/>
            </w:tcMar>
          </w:tcPr>
          <w:p w14:paraId="730C8B92" w14:textId="77777777" w:rsidR="00AE531B" w:rsidRDefault="00C90EC8">
            <w:r>
              <w:rPr>
                <w:rFonts w:ascii="Calibri" w:eastAsia="Calibri" w:hAnsi="Calibri" w:cs="Calibri"/>
                <w:b/>
                <w:bCs/>
                <w:color w:val="FFFFFF"/>
                <w:sz w:val="22"/>
                <w:szCs w:val="22"/>
              </w:rPr>
              <w:t>Variance (Approx.)</w:t>
            </w:r>
          </w:p>
        </w:tc>
        <w:tc>
          <w:tcPr>
            <w:tcW w:w="750" w:type="pct"/>
            <w:shd w:val="clear" w:color="auto" w:fill="1A3A5C"/>
            <w:tcMar>
              <w:top w:w="90" w:type="dxa"/>
              <w:left w:w="135" w:type="dxa"/>
              <w:bottom w:w="90" w:type="dxa"/>
              <w:right w:w="135" w:type="dxa"/>
            </w:tcMar>
          </w:tcPr>
          <w:p w14:paraId="435356BA" w14:textId="77777777" w:rsidR="00AE531B" w:rsidRDefault="00C90EC8">
            <w:r>
              <w:rPr>
                <w:rFonts w:ascii="Calibri" w:eastAsia="Calibri" w:hAnsi="Calibri" w:cs="Calibri"/>
                <w:b/>
                <w:bCs/>
                <w:color w:val="FFFFFF"/>
                <w:sz w:val="22"/>
                <w:szCs w:val="22"/>
              </w:rPr>
              <w:t>Status</w:t>
            </w:r>
          </w:p>
        </w:tc>
      </w:tr>
      <w:tr w:rsidR="00AE531B" w14:paraId="623CC335" w14:textId="77777777">
        <w:tc>
          <w:tcPr>
            <w:tcW w:w="1800" w:type="pct"/>
            <w:gridSpan w:val="5"/>
            <w:shd w:val="clear" w:color="auto" w:fill="E8EEF7"/>
            <w:tcMar>
              <w:top w:w="90" w:type="dxa"/>
              <w:left w:w="135" w:type="dxa"/>
              <w:bottom w:w="90" w:type="dxa"/>
              <w:right w:w="135" w:type="dxa"/>
            </w:tcMar>
          </w:tcPr>
          <w:p w14:paraId="0FAC5B71" w14:textId="77777777" w:rsidR="00AE531B" w:rsidRDefault="00C90EC8">
            <w:r>
              <w:rPr>
                <w:rFonts w:ascii="Calibri" w:eastAsia="Calibri" w:hAnsi="Calibri" w:cs="Calibri"/>
                <w:b/>
                <w:bCs/>
                <w:i/>
                <w:iCs/>
                <w:color w:val="1A3A5C"/>
                <w:sz w:val="22"/>
                <w:szCs w:val="22"/>
              </w:rPr>
              <w:t>OPERATING INCOME</w:t>
            </w:r>
          </w:p>
        </w:tc>
      </w:tr>
      <w:tr w:rsidR="00AE531B" w14:paraId="5A423308" w14:textId="77777777">
        <w:tc>
          <w:tcPr>
            <w:tcW w:w="1800" w:type="pct"/>
            <w:tcMar>
              <w:top w:w="90" w:type="dxa"/>
              <w:left w:w="135" w:type="dxa"/>
              <w:bottom w:w="90" w:type="dxa"/>
              <w:right w:w="135" w:type="dxa"/>
            </w:tcMar>
          </w:tcPr>
          <w:p w14:paraId="5019BB31" w14:textId="77777777" w:rsidR="00AE531B" w:rsidRDefault="00C90EC8">
            <w:r>
              <w:rPr>
                <w:rFonts w:ascii="Calibri" w:eastAsia="Calibri" w:hAnsi="Calibri" w:cs="Calibri"/>
                <w:color w:val="000000"/>
                <w:sz w:val="22"/>
                <w:szCs w:val="22"/>
              </w:rPr>
              <w:t>Assessment / Dues Income</w:t>
            </w:r>
          </w:p>
        </w:tc>
        <w:tc>
          <w:tcPr>
            <w:tcW w:w="750" w:type="pct"/>
            <w:tcMar>
              <w:top w:w="90" w:type="dxa"/>
              <w:left w:w="135" w:type="dxa"/>
              <w:bottom w:w="90" w:type="dxa"/>
              <w:right w:w="135" w:type="dxa"/>
            </w:tcMar>
          </w:tcPr>
          <w:p w14:paraId="062F3912" w14:textId="77777777" w:rsidR="00AE531B" w:rsidRDefault="00C90EC8">
            <w:r>
              <w:rPr>
                <w:rFonts w:ascii="Calibri" w:eastAsia="Calibri" w:hAnsi="Calibri" w:cs="Calibri"/>
                <w:color w:val="000000"/>
                <w:sz w:val="22"/>
                <w:szCs w:val="22"/>
              </w:rPr>
              <w:t>Below budget</w:t>
            </w:r>
          </w:p>
        </w:tc>
        <w:tc>
          <w:tcPr>
            <w:tcW w:w="750" w:type="pct"/>
            <w:tcMar>
              <w:top w:w="90" w:type="dxa"/>
              <w:left w:w="135" w:type="dxa"/>
              <w:bottom w:w="90" w:type="dxa"/>
              <w:right w:w="135" w:type="dxa"/>
            </w:tcMar>
          </w:tcPr>
          <w:p w14:paraId="5CAD1B17" w14:textId="77777777" w:rsidR="00AE531B" w:rsidRDefault="00C90EC8">
            <w:r>
              <w:rPr>
                <w:rFonts w:ascii="Calibri" w:eastAsia="Calibri" w:hAnsi="Calibri" w:cs="Calibri"/>
                <w:color w:val="000000"/>
                <w:sz w:val="22"/>
                <w:szCs w:val="22"/>
              </w:rPr>
              <w:t>Below budget</w:t>
            </w:r>
          </w:p>
        </w:tc>
        <w:tc>
          <w:tcPr>
            <w:tcW w:w="950" w:type="pct"/>
            <w:tcMar>
              <w:top w:w="90" w:type="dxa"/>
              <w:left w:w="135" w:type="dxa"/>
              <w:bottom w:w="90" w:type="dxa"/>
              <w:right w:w="135" w:type="dxa"/>
            </w:tcMar>
          </w:tcPr>
          <w:p w14:paraId="77F519FE" w14:textId="77777777" w:rsidR="00AE531B" w:rsidRDefault="00C90EC8">
            <w:r>
              <w:rPr>
                <w:rFonts w:ascii="Calibri" w:eastAsia="Calibri" w:hAnsi="Calibri" w:cs="Calibri"/>
                <w:b/>
                <w:bCs/>
                <w:color w:val="8B1A1A"/>
                <w:sz w:val="22"/>
                <w:szCs w:val="22"/>
              </w:rPr>
              <w:t>~$9,000 Unfavorable</w:t>
            </w:r>
          </w:p>
        </w:tc>
        <w:tc>
          <w:tcPr>
            <w:tcW w:w="750" w:type="pct"/>
            <w:tcMar>
              <w:top w:w="90" w:type="dxa"/>
              <w:left w:w="135" w:type="dxa"/>
              <w:bottom w:w="90" w:type="dxa"/>
              <w:right w:w="135" w:type="dxa"/>
            </w:tcMar>
          </w:tcPr>
          <w:p w14:paraId="10F320E9" w14:textId="77777777" w:rsidR="00AE531B" w:rsidRDefault="00C90EC8">
            <w:r>
              <w:rPr>
                <w:rFonts w:ascii="Calibri" w:eastAsia="Calibri" w:hAnsi="Calibri" w:cs="Calibri"/>
                <w:b/>
                <w:bCs/>
                <w:color w:val="8B1A1A"/>
                <w:sz w:val="22"/>
                <w:szCs w:val="22"/>
              </w:rPr>
              <w:t>Below Budget</w:t>
            </w:r>
          </w:p>
        </w:tc>
      </w:tr>
      <w:tr w:rsidR="00AE531B" w14:paraId="20E0326A" w14:textId="77777777">
        <w:tc>
          <w:tcPr>
            <w:tcW w:w="1800" w:type="pct"/>
            <w:tcMar>
              <w:top w:w="90" w:type="dxa"/>
              <w:left w:w="135" w:type="dxa"/>
              <w:bottom w:w="90" w:type="dxa"/>
              <w:right w:w="135" w:type="dxa"/>
            </w:tcMar>
          </w:tcPr>
          <w:p w14:paraId="38AC9013" w14:textId="77777777" w:rsidR="00AE531B" w:rsidRDefault="00C90EC8">
            <w:proofErr w:type="gramStart"/>
            <w:r>
              <w:rPr>
                <w:rFonts w:ascii="Calibri" w:eastAsia="Calibri" w:hAnsi="Calibri" w:cs="Calibri"/>
                <w:color w:val="000000"/>
                <w:sz w:val="22"/>
                <w:szCs w:val="22"/>
              </w:rPr>
              <w:t>Reserve</w:t>
            </w:r>
            <w:proofErr w:type="gramEnd"/>
            <w:r>
              <w:rPr>
                <w:rFonts w:ascii="Calibri" w:eastAsia="Calibri" w:hAnsi="Calibri" w:cs="Calibri"/>
                <w:color w:val="000000"/>
                <w:sz w:val="22"/>
                <w:szCs w:val="22"/>
              </w:rPr>
              <w:t xml:space="preserve"> Interest Income</w:t>
            </w:r>
          </w:p>
        </w:tc>
        <w:tc>
          <w:tcPr>
            <w:tcW w:w="750" w:type="pct"/>
            <w:tcMar>
              <w:top w:w="90" w:type="dxa"/>
              <w:left w:w="135" w:type="dxa"/>
              <w:bottom w:w="90" w:type="dxa"/>
              <w:right w:w="135" w:type="dxa"/>
            </w:tcMar>
          </w:tcPr>
          <w:p w14:paraId="4F1FFE65"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196F4C33" w14:textId="77777777" w:rsidR="00AE531B" w:rsidRDefault="00C90EC8">
            <w:r>
              <w:rPr>
                <w:rFonts w:ascii="Calibri" w:eastAsia="Calibri" w:hAnsi="Calibri" w:cs="Calibri"/>
                <w:color w:val="000000"/>
                <w:sz w:val="22"/>
                <w:szCs w:val="22"/>
              </w:rPr>
              <w:t>Below budget</w:t>
            </w:r>
          </w:p>
        </w:tc>
        <w:tc>
          <w:tcPr>
            <w:tcW w:w="950" w:type="pct"/>
            <w:tcMar>
              <w:top w:w="90" w:type="dxa"/>
              <w:left w:w="135" w:type="dxa"/>
              <w:bottom w:w="90" w:type="dxa"/>
              <w:right w:w="135" w:type="dxa"/>
            </w:tcMar>
          </w:tcPr>
          <w:p w14:paraId="5DCAFC65" w14:textId="77777777" w:rsidR="00AE531B" w:rsidRDefault="00C90EC8">
            <w:r>
              <w:rPr>
                <w:rFonts w:ascii="Calibri" w:eastAsia="Calibri" w:hAnsi="Calibri" w:cs="Calibri"/>
                <w:b/>
                <w:bCs/>
                <w:color w:val="8B1A1A"/>
                <w:sz w:val="22"/>
                <w:szCs w:val="22"/>
              </w:rPr>
              <w:t>~$7,700 Unfavorable</w:t>
            </w:r>
          </w:p>
        </w:tc>
        <w:tc>
          <w:tcPr>
            <w:tcW w:w="750" w:type="pct"/>
            <w:tcMar>
              <w:top w:w="90" w:type="dxa"/>
              <w:left w:w="135" w:type="dxa"/>
              <w:bottom w:w="90" w:type="dxa"/>
              <w:right w:w="135" w:type="dxa"/>
            </w:tcMar>
          </w:tcPr>
          <w:p w14:paraId="4F418D8D" w14:textId="77777777" w:rsidR="00AE531B" w:rsidRDefault="00C90EC8">
            <w:r>
              <w:rPr>
                <w:rFonts w:ascii="Calibri" w:eastAsia="Calibri" w:hAnsi="Calibri" w:cs="Calibri"/>
                <w:b/>
                <w:bCs/>
                <w:color w:val="8B1A1A"/>
                <w:sz w:val="22"/>
                <w:szCs w:val="22"/>
              </w:rPr>
              <w:t>Below Budget</w:t>
            </w:r>
          </w:p>
        </w:tc>
      </w:tr>
      <w:tr w:rsidR="00AE531B" w14:paraId="448C9A69" w14:textId="77777777">
        <w:tc>
          <w:tcPr>
            <w:tcW w:w="1800" w:type="pct"/>
            <w:shd w:val="clear" w:color="auto" w:fill="DCE6F0"/>
            <w:tcMar>
              <w:top w:w="90" w:type="dxa"/>
              <w:left w:w="135" w:type="dxa"/>
              <w:bottom w:w="90" w:type="dxa"/>
              <w:right w:w="135" w:type="dxa"/>
            </w:tcMar>
          </w:tcPr>
          <w:p w14:paraId="53FADE54" w14:textId="77777777" w:rsidR="00AE531B" w:rsidRDefault="00C90EC8">
            <w:r>
              <w:rPr>
                <w:rFonts w:ascii="Calibri" w:eastAsia="Calibri" w:hAnsi="Calibri" w:cs="Calibri"/>
                <w:b/>
                <w:bCs/>
                <w:color w:val="000000"/>
                <w:sz w:val="22"/>
                <w:szCs w:val="22"/>
              </w:rPr>
              <w:t>Total Operating Income</w:t>
            </w:r>
          </w:p>
        </w:tc>
        <w:tc>
          <w:tcPr>
            <w:tcW w:w="750" w:type="pct"/>
            <w:shd w:val="clear" w:color="auto" w:fill="DCE6F0"/>
            <w:tcMar>
              <w:top w:w="90" w:type="dxa"/>
              <w:left w:w="135" w:type="dxa"/>
              <w:bottom w:w="90" w:type="dxa"/>
              <w:right w:w="135" w:type="dxa"/>
            </w:tcMar>
          </w:tcPr>
          <w:p w14:paraId="5A3023D7" w14:textId="77777777" w:rsidR="00AE531B" w:rsidRDefault="00C90EC8">
            <w:r>
              <w:rPr>
                <w:rFonts w:ascii="Calibri" w:eastAsia="Calibri" w:hAnsi="Calibri" w:cs="Calibri"/>
                <w:b/>
                <w:bCs/>
                <w:color w:val="000000"/>
                <w:sz w:val="22"/>
                <w:szCs w:val="22"/>
              </w:rPr>
              <w:t>Per budget</w:t>
            </w:r>
          </w:p>
        </w:tc>
        <w:tc>
          <w:tcPr>
            <w:tcW w:w="750" w:type="pct"/>
            <w:shd w:val="clear" w:color="auto" w:fill="DCE6F0"/>
            <w:tcMar>
              <w:top w:w="90" w:type="dxa"/>
              <w:left w:w="135" w:type="dxa"/>
              <w:bottom w:w="90" w:type="dxa"/>
              <w:right w:w="135" w:type="dxa"/>
            </w:tcMar>
          </w:tcPr>
          <w:p w14:paraId="03DBDB75" w14:textId="77777777" w:rsidR="00AE531B" w:rsidRDefault="00C90EC8">
            <w:r>
              <w:rPr>
                <w:rFonts w:ascii="Calibri" w:eastAsia="Calibri" w:hAnsi="Calibri" w:cs="Calibri"/>
                <w:b/>
                <w:bCs/>
                <w:color w:val="000000"/>
                <w:sz w:val="22"/>
                <w:szCs w:val="22"/>
              </w:rPr>
              <w:t>Below budget</w:t>
            </w:r>
          </w:p>
        </w:tc>
        <w:tc>
          <w:tcPr>
            <w:tcW w:w="950" w:type="pct"/>
            <w:shd w:val="clear" w:color="auto" w:fill="DCE6F0"/>
            <w:tcMar>
              <w:top w:w="90" w:type="dxa"/>
              <w:left w:w="135" w:type="dxa"/>
              <w:bottom w:w="90" w:type="dxa"/>
              <w:right w:w="135" w:type="dxa"/>
            </w:tcMar>
          </w:tcPr>
          <w:p w14:paraId="247EBDA5" w14:textId="77777777" w:rsidR="00AE531B" w:rsidRDefault="00C90EC8">
            <w:r>
              <w:rPr>
                <w:rFonts w:ascii="Calibri" w:eastAsia="Calibri" w:hAnsi="Calibri" w:cs="Calibri"/>
                <w:b/>
                <w:bCs/>
                <w:color w:val="8B1A1A"/>
                <w:sz w:val="22"/>
                <w:szCs w:val="22"/>
              </w:rPr>
              <w:t>~$9,000 Unfavorable</w:t>
            </w:r>
          </w:p>
        </w:tc>
        <w:tc>
          <w:tcPr>
            <w:tcW w:w="750" w:type="pct"/>
            <w:shd w:val="clear" w:color="auto" w:fill="DCE6F0"/>
            <w:tcMar>
              <w:top w:w="90" w:type="dxa"/>
              <w:left w:w="135" w:type="dxa"/>
              <w:bottom w:w="90" w:type="dxa"/>
              <w:right w:w="135" w:type="dxa"/>
            </w:tcMar>
          </w:tcPr>
          <w:p w14:paraId="2D3E27E0" w14:textId="77777777" w:rsidR="00AE531B" w:rsidRDefault="00C90EC8">
            <w:r>
              <w:rPr>
                <w:rFonts w:ascii="Calibri" w:eastAsia="Calibri" w:hAnsi="Calibri" w:cs="Calibri"/>
                <w:b/>
                <w:bCs/>
                <w:color w:val="8B1A1A"/>
                <w:sz w:val="22"/>
                <w:szCs w:val="22"/>
              </w:rPr>
              <w:t>Below Budget</w:t>
            </w:r>
          </w:p>
        </w:tc>
      </w:tr>
      <w:tr w:rsidR="00AE531B" w14:paraId="388D42EF" w14:textId="77777777">
        <w:tc>
          <w:tcPr>
            <w:tcW w:w="1800" w:type="pct"/>
            <w:gridSpan w:val="5"/>
            <w:shd w:val="clear" w:color="auto" w:fill="E8EEF7"/>
            <w:tcMar>
              <w:top w:w="90" w:type="dxa"/>
              <w:left w:w="135" w:type="dxa"/>
              <w:bottom w:w="90" w:type="dxa"/>
              <w:right w:w="135" w:type="dxa"/>
            </w:tcMar>
          </w:tcPr>
          <w:p w14:paraId="610C8669" w14:textId="77777777" w:rsidR="00AE531B" w:rsidRDefault="00C90EC8">
            <w:r>
              <w:rPr>
                <w:rFonts w:ascii="Calibri" w:eastAsia="Calibri" w:hAnsi="Calibri" w:cs="Calibri"/>
                <w:b/>
                <w:bCs/>
                <w:i/>
                <w:iCs/>
                <w:color w:val="1A3A5C"/>
                <w:sz w:val="22"/>
                <w:szCs w:val="22"/>
              </w:rPr>
              <w:t>OPERATING EXPENSES</w:t>
            </w:r>
          </w:p>
        </w:tc>
      </w:tr>
      <w:tr w:rsidR="00AE531B" w14:paraId="5FA7C990" w14:textId="77777777">
        <w:tc>
          <w:tcPr>
            <w:tcW w:w="1800" w:type="pct"/>
            <w:tcMar>
              <w:top w:w="90" w:type="dxa"/>
              <w:left w:w="135" w:type="dxa"/>
              <w:bottom w:w="90" w:type="dxa"/>
              <w:right w:w="135" w:type="dxa"/>
            </w:tcMar>
          </w:tcPr>
          <w:p w14:paraId="1E4DAE08" w14:textId="77777777" w:rsidR="00AE531B" w:rsidRDefault="00C90EC8">
            <w:r>
              <w:rPr>
                <w:rFonts w:ascii="Calibri" w:eastAsia="Calibri" w:hAnsi="Calibri" w:cs="Calibri"/>
                <w:color w:val="000000"/>
                <w:sz w:val="22"/>
                <w:szCs w:val="22"/>
              </w:rPr>
              <w:t>Administrative / G&amp;A</w:t>
            </w:r>
          </w:p>
        </w:tc>
        <w:tc>
          <w:tcPr>
            <w:tcW w:w="750" w:type="pct"/>
            <w:tcMar>
              <w:top w:w="90" w:type="dxa"/>
              <w:left w:w="135" w:type="dxa"/>
              <w:bottom w:w="90" w:type="dxa"/>
              <w:right w:w="135" w:type="dxa"/>
            </w:tcMar>
          </w:tcPr>
          <w:p w14:paraId="251A2F44"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78940CAE" w14:textId="77777777" w:rsidR="00AE531B" w:rsidRDefault="00C90EC8">
            <w:r>
              <w:rPr>
                <w:rFonts w:ascii="Calibri" w:eastAsia="Calibri" w:hAnsi="Calibri" w:cs="Calibri"/>
                <w:color w:val="000000"/>
                <w:sz w:val="22"/>
                <w:szCs w:val="22"/>
              </w:rPr>
              <w:t>Over budget</w:t>
            </w:r>
          </w:p>
        </w:tc>
        <w:tc>
          <w:tcPr>
            <w:tcW w:w="950" w:type="pct"/>
            <w:tcMar>
              <w:top w:w="90" w:type="dxa"/>
              <w:left w:w="135" w:type="dxa"/>
              <w:bottom w:w="90" w:type="dxa"/>
              <w:right w:w="135" w:type="dxa"/>
            </w:tcMar>
          </w:tcPr>
          <w:p w14:paraId="62B76C44" w14:textId="77777777" w:rsidR="00AE531B" w:rsidRDefault="00C90EC8">
            <w:r>
              <w:rPr>
                <w:rFonts w:ascii="Calibri" w:eastAsia="Calibri" w:hAnsi="Calibri" w:cs="Calibri"/>
                <w:b/>
                <w:bCs/>
                <w:color w:val="8B1A1A"/>
                <w:sz w:val="22"/>
                <w:szCs w:val="22"/>
              </w:rPr>
              <w:t>~$18,000 Unfavorable</w:t>
            </w:r>
          </w:p>
        </w:tc>
        <w:tc>
          <w:tcPr>
            <w:tcW w:w="750" w:type="pct"/>
            <w:tcMar>
              <w:top w:w="90" w:type="dxa"/>
              <w:left w:w="135" w:type="dxa"/>
              <w:bottom w:w="90" w:type="dxa"/>
              <w:right w:w="135" w:type="dxa"/>
            </w:tcMar>
          </w:tcPr>
          <w:p w14:paraId="31C14CB0" w14:textId="77777777" w:rsidR="00AE531B" w:rsidRDefault="00C90EC8">
            <w:r>
              <w:rPr>
                <w:rFonts w:ascii="Calibri" w:eastAsia="Calibri" w:hAnsi="Calibri" w:cs="Calibri"/>
                <w:b/>
                <w:bCs/>
                <w:color w:val="8B1A1A"/>
                <w:sz w:val="22"/>
                <w:szCs w:val="22"/>
              </w:rPr>
              <w:t>Over Budget</w:t>
            </w:r>
          </w:p>
        </w:tc>
      </w:tr>
      <w:tr w:rsidR="00AE531B" w14:paraId="27153F81" w14:textId="77777777">
        <w:tc>
          <w:tcPr>
            <w:tcW w:w="1800" w:type="pct"/>
            <w:tcMar>
              <w:top w:w="90" w:type="dxa"/>
              <w:left w:w="135" w:type="dxa"/>
              <w:bottom w:w="90" w:type="dxa"/>
              <w:right w:w="135" w:type="dxa"/>
            </w:tcMar>
          </w:tcPr>
          <w:p w14:paraId="42EC7A0C" w14:textId="77777777" w:rsidR="00AE531B" w:rsidRDefault="00C90EC8">
            <w:r>
              <w:rPr>
                <w:rFonts w:ascii="Calibri" w:eastAsia="Calibri" w:hAnsi="Calibri" w:cs="Calibri"/>
                <w:color w:val="000000"/>
                <w:sz w:val="22"/>
                <w:szCs w:val="22"/>
              </w:rPr>
              <w:t>Grounds (incl. Irrigation, Tennis, Special Projects)</w:t>
            </w:r>
          </w:p>
        </w:tc>
        <w:tc>
          <w:tcPr>
            <w:tcW w:w="750" w:type="pct"/>
            <w:tcMar>
              <w:top w:w="90" w:type="dxa"/>
              <w:left w:w="135" w:type="dxa"/>
              <w:bottom w:w="90" w:type="dxa"/>
              <w:right w:w="135" w:type="dxa"/>
            </w:tcMar>
          </w:tcPr>
          <w:p w14:paraId="0512E4F2"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40E5CF70" w14:textId="77777777" w:rsidR="00AE531B" w:rsidRDefault="00C90EC8">
            <w:r>
              <w:rPr>
                <w:rFonts w:ascii="Calibri" w:eastAsia="Calibri" w:hAnsi="Calibri" w:cs="Calibri"/>
                <w:color w:val="000000"/>
                <w:sz w:val="22"/>
                <w:szCs w:val="22"/>
              </w:rPr>
              <w:t>Under budget</w:t>
            </w:r>
          </w:p>
        </w:tc>
        <w:tc>
          <w:tcPr>
            <w:tcW w:w="950" w:type="pct"/>
            <w:tcMar>
              <w:top w:w="90" w:type="dxa"/>
              <w:left w:w="135" w:type="dxa"/>
              <w:bottom w:w="90" w:type="dxa"/>
              <w:right w:w="135" w:type="dxa"/>
            </w:tcMar>
          </w:tcPr>
          <w:p w14:paraId="4B53C604" w14:textId="77777777" w:rsidR="00AE531B" w:rsidRDefault="00C90EC8">
            <w:r>
              <w:rPr>
                <w:rFonts w:ascii="Calibri" w:eastAsia="Calibri" w:hAnsi="Calibri" w:cs="Calibri"/>
                <w:b/>
                <w:bCs/>
                <w:color w:val="1A5C2E"/>
                <w:sz w:val="22"/>
                <w:szCs w:val="22"/>
              </w:rPr>
              <w:t>~$21,000 Favorable</w:t>
            </w:r>
          </w:p>
        </w:tc>
        <w:tc>
          <w:tcPr>
            <w:tcW w:w="750" w:type="pct"/>
            <w:tcMar>
              <w:top w:w="90" w:type="dxa"/>
              <w:left w:w="135" w:type="dxa"/>
              <w:bottom w:w="90" w:type="dxa"/>
              <w:right w:w="135" w:type="dxa"/>
            </w:tcMar>
          </w:tcPr>
          <w:p w14:paraId="67E0687C" w14:textId="77777777" w:rsidR="00AE531B" w:rsidRDefault="00C90EC8">
            <w:r>
              <w:rPr>
                <w:rFonts w:ascii="Calibri" w:eastAsia="Calibri" w:hAnsi="Calibri" w:cs="Calibri"/>
                <w:b/>
                <w:bCs/>
                <w:color w:val="1A5C2E"/>
                <w:sz w:val="22"/>
                <w:szCs w:val="22"/>
              </w:rPr>
              <w:t>Under Budget</w:t>
            </w:r>
          </w:p>
        </w:tc>
      </w:tr>
      <w:tr w:rsidR="00AE531B" w14:paraId="6BBF262C" w14:textId="77777777">
        <w:tc>
          <w:tcPr>
            <w:tcW w:w="1800" w:type="pct"/>
            <w:tcMar>
              <w:top w:w="90" w:type="dxa"/>
              <w:left w:w="135" w:type="dxa"/>
              <w:bottom w:w="90" w:type="dxa"/>
              <w:right w:w="135" w:type="dxa"/>
            </w:tcMar>
          </w:tcPr>
          <w:p w14:paraId="75320543" w14:textId="77777777" w:rsidR="00AE531B" w:rsidRDefault="00C90EC8">
            <w:r>
              <w:rPr>
                <w:rFonts w:ascii="Calibri" w:eastAsia="Calibri" w:hAnsi="Calibri" w:cs="Calibri"/>
                <w:color w:val="000000"/>
                <w:sz w:val="22"/>
                <w:szCs w:val="22"/>
              </w:rPr>
              <w:t>Pool &amp; Recreation</w:t>
            </w:r>
          </w:p>
        </w:tc>
        <w:tc>
          <w:tcPr>
            <w:tcW w:w="750" w:type="pct"/>
            <w:tcMar>
              <w:top w:w="90" w:type="dxa"/>
              <w:left w:w="135" w:type="dxa"/>
              <w:bottom w:w="90" w:type="dxa"/>
              <w:right w:w="135" w:type="dxa"/>
            </w:tcMar>
          </w:tcPr>
          <w:p w14:paraId="1B00CD88"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08D9AD5B" w14:textId="77777777" w:rsidR="00AE531B" w:rsidRDefault="00C90EC8">
            <w:r>
              <w:rPr>
                <w:rFonts w:ascii="Calibri" w:eastAsia="Calibri" w:hAnsi="Calibri" w:cs="Calibri"/>
                <w:color w:val="000000"/>
                <w:sz w:val="22"/>
                <w:szCs w:val="22"/>
              </w:rPr>
              <w:t>Under budget</w:t>
            </w:r>
          </w:p>
        </w:tc>
        <w:tc>
          <w:tcPr>
            <w:tcW w:w="950" w:type="pct"/>
            <w:tcMar>
              <w:top w:w="90" w:type="dxa"/>
              <w:left w:w="135" w:type="dxa"/>
              <w:bottom w:w="90" w:type="dxa"/>
              <w:right w:w="135" w:type="dxa"/>
            </w:tcMar>
          </w:tcPr>
          <w:p w14:paraId="21DC3275" w14:textId="77777777" w:rsidR="00AE531B" w:rsidRDefault="00C90EC8">
            <w:r>
              <w:rPr>
                <w:rFonts w:ascii="Calibri" w:eastAsia="Calibri" w:hAnsi="Calibri" w:cs="Calibri"/>
                <w:b/>
                <w:bCs/>
                <w:color w:val="1A5C2E"/>
                <w:sz w:val="22"/>
                <w:szCs w:val="22"/>
              </w:rPr>
              <w:t>~$500 Favorable</w:t>
            </w:r>
          </w:p>
        </w:tc>
        <w:tc>
          <w:tcPr>
            <w:tcW w:w="750" w:type="pct"/>
            <w:tcMar>
              <w:top w:w="90" w:type="dxa"/>
              <w:left w:w="135" w:type="dxa"/>
              <w:bottom w:w="90" w:type="dxa"/>
              <w:right w:w="135" w:type="dxa"/>
            </w:tcMar>
          </w:tcPr>
          <w:p w14:paraId="17888767" w14:textId="77777777" w:rsidR="00AE531B" w:rsidRDefault="00C90EC8">
            <w:r>
              <w:rPr>
                <w:rFonts w:ascii="Calibri" w:eastAsia="Calibri" w:hAnsi="Calibri" w:cs="Calibri"/>
                <w:b/>
                <w:bCs/>
                <w:color w:val="1A5C2E"/>
                <w:sz w:val="22"/>
                <w:szCs w:val="22"/>
              </w:rPr>
              <w:t>Under Budget</w:t>
            </w:r>
          </w:p>
        </w:tc>
      </w:tr>
      <w:tr w:rsidR="00AE531B" w14:paraId="3895EF00" w14:textId="77777777">
        <w:tc>
          <w:tcPr>
            <w:tcW w:w="1800" w:type="pct"/>
            <w:tcMar>
              <w:top w:w="90" w:type="dxa"/>
              <w:left w:w="135" w:type="dxa"/>
              <w:bottom w:w="90" w:type="dxa"/>
              <w:right w:w="135" w:type="dxa"/>
            </w:tcMar>
          </w:tcPr>
          <w:p w14:paraId="1F286930" w14:textId="77777777" w:rsidR="00AE531B" w:rsidRDefault="00C90EC8">
            <w:r>
              <w:rPr>
                <w:rFonts w:ascii="Calibri" w:eastAsia="Calibri" w:hAnsi="Calibri" w:cs="Calibri"/>
                <w:color w:val="000000"/>
                <w:sz w:val="22"/>
                <w:szCs w:val="22"/>
              </w:rPr>
              <w:t>Repairs &amp; Maintenance — Clubhouse</w:t>
            </w:r>
          </w:p>
        </w:tc>
        <w:tc>
          <w:tcPr>
            <w:tcW w:w="750" w:type="pct"/>
            <w:tcMar>
              <w:top w:w="90" w:type="dxa"/>
              <w:left w:w="135" w:type="dxa"/>
              <w:bottom w:w="90" w:type="dxa"/>
              <w:right w:w="135" w:type="dxa"/>
            </w:tcMar>
          </w:tcPr>
          <w:p w14:paraId="6C580C02"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08D1A410" w14:textId="77777777" w:rsidR="00AE531B" w:rsidRDefault="00C90EC8">
            <w:r>
              <w:rPr>
                <w:rFonts w:ascii="Calibri" w:eastAsia="Calibri" w:hAnsi="Calibri" w:cs="Calibri"/>
                <w:color w:val="000000"/>
                <w:sz w:val="22"/>
                <w:szCs w:val="22"/>
              </w:rPr>
              <w:t>Under budget</w:t>
            </w:r>
          </w:p>
        </w:tc>
        <w:tc>
          <w:tcPr>
            <w:tcW w:w="950" w:type="pct"/>
            <w:tcMar>
              <w:top w:w="90" w:type="dxa"/>
              <w:left w:w="135" w:type="dxa"/>
              <w:bottom w:w="90" w:type="dxa"/>
              <w:right w:w="135" w:type="dxa"/>
            </w:tcMar>
          </w:tcPr>
          <w:p w14:paraId="6D8FACB0" w14:textId="77777777" w:rsidR="00AE531B" w:rsidRDefault="00C90EC8">
            <w:r>
              <w:rPr>
                <w:rFonts w:ascii="Calibri" w:eastAsia="Calibri" w:hAnsi="Calibri" w:cs="Calibri"/>
                <w:b/>
                <w:bCs/>
                <w:color w:val="1A5C2E"/>
                <w:sz w:val="22"/>
                <w:szCs w:val="22"/>
              </w:rPr>
              <w:t>~$1,300 Favorable</w:t>
            </w:r>
          </w:p>
        </w:tc>
        <w:tc>
          <w:tcPr>
            <w:tcW w:w="750" w:type="pct"/>
            <w:tcMar>
              <w:top w:w="90" w:type="dxa"/>
              <w:left w:w="135" w:type="dxa"/>
              <w:bottom w:w="90" w:type="dxa"/>
              <w:right w:w="135" w:type="dxa"/>
            </w:tcMar>
          </w:tcPr>
          <w:p w14:paraId="3BE0C297" w14:textId="77777777" w:rsidR="00AE531B" w:rsidRDefault="00C90EC8">
            <w:r>
              <w:rPr>
                <w:rFonts w:ascii="Calibri" w:eastAsia="Calibri" w:hAnsi="Calibri" w:cs="Calibri"/>
                <w:b/>
                <w:bCs/>
                <w:color w:val="1A5C2E"/>
                <w:sz w:val="22"/>
                <w:szCs w:val="22"/>
              </w:rPr>
              <w:t>Under Budget</w:t>
            </w:r>
          </w:p>
        </w:tc>
      </w:tr>
      <w:tr w:rsidR="00AE531B" w14:paraId="7AE5D217" w14:textId="77777777">
        <w:tc>
          <w:tcPr>
            <w:tcW w:w="1800" w:type="pct"/>
            <w:tcMar>
              <w:top w:w="90" w:type="dxa"/>
              <w:left w:w="135" w:type="dxa"/>
              <w:bottom w:w="90" w:type="dxa"/>
              <w:right w:w="135" w:type="dxa"/>
            </w:tcMar>
          </w:tcPr>
          <w:p w14:paraId="6AFEAC2A" w14:textId="77777777" w:rsidR="00AE531B" w:rsidRDefault="00C90EC8">
            <w:r>
              <w:rPr>
                <w:rFonts w:ascii="Calibri" w:eastAsia="Calibri" w:hAnsi="Calibri" w:cs="Calibri"/>
                <w:color w:val="000000"/>
                <w:sz w:val="22"/>
                <w:szCs w:val="22"/>
              </w:rPr>
              <w:t>Utilities</w:t>
            </w:r>
          </w:p>
        </w:tc>
        <w:tc>
          <w:tcPr>
            <w:tcW w:w="750" w:type="pct"/>
            <w:tcMar>
              <w:top w:w="90" w:type="dxa"/>
              <w:left w:w="135" w:type="dxa"/>
              <w:bottom w:w="90" w:type="dxa"/>
              <w:right w:w="135" w:type="dxa"/>
            </w:tcMar>
          </w:tcPr>
          <w:p w14:paraId="471FA6F1"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245443BE" w14:textId="77777777" w:rsidR="00AE531B" w:rsidRDefault="00C90EC8">
            <w:r>
              <w:rPr>
                <w:rFonts w:ascii="Calibri" w:eastAsia="Calibri" w:hAnsi="Calibri" w:cs="Calibri"/>
                <w:color w:val="000000"/>
                <w:sz w:val="22"/>
                <w:szCs w:val="22"/>
              </w:rPr>
              <w:t>Slightly over</w:t>
            </w:r>
          </w:p>
        </w:tc>
        <w:tc>
          <w:tcPr>
            <w:tcW w:w="950" w:type="pct"/>
            <w:tcMar>
              <w:top w:w="90" w:type="dxa"/>
              <w:left w:w="135" w:type="dxa"/>
              <w:bottom w:w="90" w:type="dxa"/>
              <w:right w:w="135" w:type="dxa"/>
            </w:tcMar>
          </w:tcPr>
          <w:p w14:paraId="4FB7A1D8" w14:textId="77777777" w:rsidR="00AE531B" w:rsidRDefault="00C90EC8">
            <w:r>
              <w:rPr>
                <w:rFonts w:ascii="Calibri" w:eastAsia="Calibri" w:hAnsi="Calibri" w:cs="Calibri"/>
                <w:b/>
                <w:bCs/>
                <w:color w:val="8B1A1A"/>
                <w:sz w:val="22"/>
                <w:szCs w:val="22"/>
              </w:rPr>
              <w:t>~$400 Unfavorable</w:t>
            </w:r>
          </w:p>
        </w:tc>
        <w:tc>
          <w:tcPr>
            <w:tcW w:w="750" w:type="pct"/>
            <w:tcMar>
              <w:top w:w="90" w:type="dxa"/>
              <w:left w:w="135" w:type="dxa"/>
              <w:bottom w:w="90" w:type="dxa"/>
              <w:right w:w="135" w:type="dxa"/>
            </w:tcMar>
          </w:tcPr>
          <w:p w14:paraId="52C8C2CB" w14:textId="77777777" w:rsidR="00AE531B" w:rsidRDefault="00C90EC8">
            <w:r>
              <w:rPr>
                <w:rFonts w:ascii="Calibri" w:eastAsia="Calibri" w:hAnsi="Calibri" w:cs="Calibri"/>
                <w:b/>
                <w:bCs/>
                <w:color w:val="8B1A1A"/>
                <w:sz w:val="22"/>
                <w:szCs w:val="22"/>
              </w:rPr>
              <w:t>Slightly Over</w:t>
            </w:r>
          </w:p>
        </w:tc>
      </w:tr>
      <w:tr w:rsidR="00AE531B" w14:paraId="3080DB6A" w14:textId="77777777">
        <w:tc>
          <w:tcPr>
            <w:tcW w:w="1800" w:type="pct"/>
            <w:tcMar>
              <w:top w:w="90" w:type="dxa"/>
              <w:left w:w="135" w:type="dxa"/>
              <w:bottom w:w="90" w:type="dxa"/>
              <w:right w:w="135" w:type="dxa"/>
            </w:tcMar>
          </w:tcPr>
          <w:p w14:paraId="5DB9AF38" w14:textId="77777777" w:rsidR="00AE531B" w:rsidRDefault="00C90EC8">
            <w:r>
              <w:rPr>
                <w:rFonts w:ascii="Calibri" w:eastAsia="Calibri" w:hAnsi="Calibri" w:cs="Calibri"/>
                <w:color w:val="000000"/>
                <w:sz w:val="22"/>
                <w:szCs w:val="22"/>
              </w:rPr>
              <w:t>All Other Categories</w:t>
            </w:r>
          </w:p>
        </w:tc>
        <w:tc>
          <w:tcPr>
            <w:tcW w:w="750" w:type="pct"/>
            <w:tcMar>
              <w:top w:w="90" w:type="dxa"/>
              <w:left w:w="135" w:type="dxa"/>
              <w:bottom w:w="90" w:type="dxa"/>
              <w:right w:w="135" w:type="dxa"/>
            </w:tcMar>
          </w:tcPr>
          <w:p w14:paraId="3783E2B8" w14:textId="77777777" w:rsidR="00AE531B" w:rsidRDefault="00C90EC8">
            <w:r>
              <w:rPr>
                <w:rFonts w:ascii="Calibri" w:eastAsia="Calibri" w:hAnsi="Calibri" w:cs="Calibri"/>
                <w:color w:val="000000"/>
                <w:sz w:val="22"/>
                <w:szCs w:val="22"/>
              </w:rPr>
              <w:t>Per budget</w:t>
            </w:r>
          </w:p>
        </w:tc>
        <w:tc>
          <w:tcPr>
            <w:tcW w:w="750" w:type="pct"/>
            <w:tcMar>
              <w:top w:w="90" w:type="dxa"/>
              <w:left w:w="135" w:type="dxa"/>
              <w:bottom w:w="90" w:type="dxa"/>
              <w:right w:w="135" w:type="dxa"/>
            </w:tcMar>
          </w:tcPr>
          <w:p w14:paraId="599D6B7C" w14:textId="77777777" w:rsidR="00AE531B" w:rsidRDefault="00C90EC8">
            <w:r>
              <w:rPr>
                <w:rFonts w:ascii="Calibri" w:eastAsia="Calibri" w:hAnsi="Calibri" w:cs="Calibri"/>
                <w:color w:val="000000"/>
                <w:sz w:val="22"/>
                <w:szCs w:val="22"/>
              </w:rPr>
              <w:t>On target</w:t>
            </w:r>
          </w:p>
        </w:tc>
        <w:tc>
          <w:tcPr>
            <w:tcW w:w="950" w:type="pct"/>
            <w:tcMar>
              <w:top w:w="90" w:type="dxa"/>
              <w:left w:w="135" w:type="dxa"/>
              <w:bottom w:w="90" w:type="dxa"/>
              <w:right w:w="135" w:type="dxa"/>
            </w:tcMar>
          </w:tcPr>
          <w:p w14:paraId="07314832" w14:textId="77777777" w:rsidR="00AE531B" w:rsidRDefault="00C90EC8">
            <w:r>
              <w:rPr>
                <w:rFonts w:ascii="Calibri" w:eastAsia="Calibri" w:hAnsi="Calibri" w:cs="Calibri"/>
                <w:color w:val="333333"/>
                <w:sz w:val="22"/>
                <w:szCs w:val="22"/>
              </w:rPr>
              <w:t>—</w:t>
            </w:r>
          </w:p>
        </w:tc>
        <w:tc>
          <w:tcPr>
            <w:tcW w:w="750" w:type="pct"/>
            <w:tcMar>
              <w:top w:w="90" w:type="dxa"/>
              <w:left w:w="135" w:type="dxa"/>
              <w:bottom w:w="90" w:type="dxa"/>
              <w:right w:w="135" w:type="dxa"/>
            </w:tcMar>
          </w:tcPr>
          <w:p w14:paraId="08AB58F8" w14:textId="77777777" w:rsidR="00AE531B" w:rsidRDefault="00C90EC8">
            <w:r>
              <w:rPr>
                <w:rFonts w:ascii="Calibri" w:eastAsia="Calibri" w:hAnsi="Calibri" w:cs="Calibri"/>
                <w:color w:val="000000"/>
                <w:sz w:val="22"/>
                <w:szCs w:val="22"/>
              </w:rPr>
              <w:t>On Target</w:t>
            </w:r>
          </w:p>
        </w:tc>
      </w:tr>
    </w:tbl>
    <w:p w14:paraId="5A6E499F" w14:textId="77777777" w:rsidR="00AE531B" w:rsidRDefault="00AE531B">
      <w:pPr>
        <w:spacing w:after="200"/>
      </w:pPr>
    </w:p>
    <w:p w14:paraId="540B49FA" w14:textId="77777777" w:rsidR="00AE531B" w:rsidRDefault="00AE531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E531B" w14:paraId="2BDD47DF" w14:textId="77777777">
        <w:tc>
          <w:tcPr>
            <w:tcW w:w="0" w:type="auto"/>
            <w:tcBorders>
              <w:top w:val="single" w:sz="6" w:space="0" w:color="1A3A5C"/>
              <w:left w:val="single" w:sz="6" w:space="0" w:color="1A3A5C"/>
              <w:bottom w:val="single" w:sz="6" w:space="0" w:color="1A3A5C"/>
              <w:right w:val="single" w:sz="6" w:space="0" w:color="1A3A5C"/>
            </w:tcBorders>
            <w:shd w:val="clear" w:color="auto" w:fill="F0F4F8"/>
            <w:tcMar>
              <w:top w:w="150" w:type="dxa"/>
              <w:left w:w="210" w:type="dxa"/>
              <w:bottom w:w="150" w:type="dxa"/>
              <w:right w:w="210" w:type="dxa"/>
            </w:tcMar>
          </w:tcPr>
          <w:p w14:paraId="5021E744" w14:textId="77777777" w:rsidR="00AE531B" w:rsidRDefault="00C90EC8">
            <w:pPr>
              <w:spacing w:after="120" w:line="408" w:lineRule="auto"/>
            </w:pPr>
            <w:r>
              <w:rPr>
                <w:b/>
                <w:bCs/>
                <w:color w:val="1A3A5C"/>
              </w:rPr>
              <w:t>Note on Approximate Figures</w:t>
            </w:r>
          </w:p>
          <w:p w14:paraId="3FB207AD" w14:textId="77777777" w:rsidR="00AE531B" w:rsidRDefault="00C90EC8">
            <w:pPr>
              <w:spacing w:after="60" w:line="360" w:lineRule="auto"/>
            </w:pPr>
            <w:r>
              <w:rPr>
                <w:rFonts w:ascii="Calibri" w:eastAsia="Calibri" w:hAnsi="Calibri" w:cs="Calibri"/>
                <w:color w:val="000000"/>
                <w:sz w:val="20"/>
                <w:szCs w:val="20"/>
              </w:rPr>
              <w:t xml:space="preserve">All dollar amounts and variances are approximate and based on available unaudited financial data as of June 30, 2026. The full June 30, </w:t>
            </w:r>
            <w:proofErr w:type="gramStart"/>
            <w:r>
              <w:rPr>
                <w:rFonts w:ascii="Calibri" w:eastAsia="Calibri" w:hAnsi="Calibri" w:cs="Calibri"/>
                <w:color w:val="000000"/>
                <w:sz w:val="20"/>
                <w:szCs w:val="20"/>
              </w:rPr>
              <w:t>2026</w:t>
            </w:r>
            <w:proofErr w:type="gramEnd"/>
            <w:r>
              <w:rPr>
                <w:rFonts w:ascii="Calibri" w:eastAsia="Calibri" w:hAnsi="Calibri" w:cs="Calibri"/>
                <w:color w:val="000000"/>
                <w:sz w:val="20"/>
                <w:szCs w:val="20"/>
              </w:rPr>
              <w:t xml:space="preserve"> Financial Report is available at </w:t>
            </w:r>
            <w:r>
              <w:rPr>
                <w:rFonts w:ascii="Calibri" w:eastAsia="Calibri" w:hAnsi="Calibri" w:cs="Calibri"/>
                <w:b/>
                <w:bCs/>
                <w:color w:val="000000"/>
                <w:sz w:val="22"/>
                <w:szCs w:val="22"/>
              </w:rPr>
              <w:t>thepatioschestnutcreek.com</w:t>
            </w:r>
            <w:r>
              <w:rPr>
                <w:rFonts w:ascii="Calibri" w:eastAsia="Calibri" w:hAnsi="Calibri" w:cs="Calibri"/>
                <w:color w:val="000000"/>
                <w:sz w:val="20"/>
                <w:szCs w:val="20"/>
              </w:rPr>
              <w:t xml:space="preserve"> and through the Sunstate portal.</w:t>
            </w:r>
          </w:p>
        </w:tc>
      </w:tr>
    </w:tbl>
    <w:p w14:paraId="631B0F8D" w14:textId="77777777" w:rsidR="00AE531B" w:rsidRDefault="00AE531B">
      <w:pPr>
        <w:spacing w:after="240"/>
      </w:pPr>
    </w:p>
    <w:p w14:paraId="20307063" w14:textId="77777777" w:rsidR="00AE531B" w:rsidRDefault="00AE531B">
      <w:pPr>
        <w:pBdr>
          <w:bottom w:val="single" w:sz="6" w:space="0" w:color="000000"/>
        </w:pBdr>
        <w:spacing w:before="240" w:after="240"/>
      </w:pPr>
    </w:p>
    <w:p w14:paraId="7D544979" w14:textId="77777777" w:rsidR="00AE531B" w:rsidRDefault="00C90EC8">
      <w:pPr>
        <w:spacing w:before="60" w:after="60" w:line="360" w:lineRule="auto"/>
      </w:pPr>
      <w:r>
        <w:rPr>
          <w:rFonts w:ascii="Calibri" w:eastAsia="Calibri" w:hAnsi="Calibri" w:cs="Calibri"/>
          <w:color w:val="555555"/>
          <w:spacing w:val="16"/>
          <w:sz w:val="18"/>
          <w:szCs w:val="18"/>
        </w:rPr>
        <w:t>SECTION 3</w:t>
      </w:r>
    </w:p>
    <w:p w14:paraId="25939A0C" w14:textId="77777777" w:rsidR="00AE531B" w:rsidRDefault="00C90EC8">
      <w:pPr>
        <w:pStyle w:val="Heading1"/>
        <w:spacing w:before="440" w:after="120" w:line="312" w:lineRule="auto"/>
      </w:pPr>
      <w:r>
        <w:rPr>
          <w:rFonts w:ascii="Calibri" w:eastAsia="Calibri" w:hAnsi="Calibri" w:cs="Calibri"/>
          <w:color w:val="1A3A5C"/>
          <w:sz w:val="40"/>
          <w:szCs w:val="40"/>
        </w:rPr>
        <w:t>Income &amp; Expense Commentary</w:t>
      </w:r>
    </w:p>
    <w:p w14:paraId="2A899833" w14:textId="77777777" w:rsidR="00AE531B" w:rsidRDefault="00C90EC8">
      <w:pPr>
        <w:pStyle w:val="Heading2"/>
        <w:spacing w:before="320" w:after="80" w:line="312" w:lineRule="auto"/>
      </w:pPr>
      <w:r>
        <w:rPr>
          <w:rFonts w:ascii="Calibri" w:eastAsia="Calibri" w:hAnsi="Calibri" w:cs="Calibri"/>
          <w:color w:val="1A3A5C"/>
          <w:sz w:val="28"/>
          <w:szCs w:val="28"/>
        </w:rPr>
        <w:t>3A — Assessment Income</w:t>
      </w:r>
    </w:p>
    <w:p w14:paraId="7BA0AE32" w14:textId="20632D27" w:rsidR="00AE531B" w:rsidRDefault="00C90EC8">
      <w:pPr>
        <w:spacing w:before="60" w:after="240" w:line="360" w:lineRule="auto"/>
      </w:pPr>
      <w:r>
        <w:rPr>
          <w:rFonts w:ascii="Calibri" w:eastAsia="Calibri" w:hAnsi="Calibri" w:cs="Calibri"/>
          <w:color w:val="000000"/>
          <w:sz w:val="22"/>
          <w:szCs w:val="22"/>
        </w:rPr>
        <w:t xml:space="preserve">Collections are on track from a billing standpoint; however, </w:t>
      </w:r>
      <w:r>
        <w:rPr>
          <w:rFonts w:ascii="Calibri" w:eastAsia="Calibri" w:hAnsi="Calibri" w:cs="Calibri"/>
          <w:b/>
          <w:bCs/>
          <w:color w:val="8B1A1A"/>
          <w:sz w:val="22"/>
          <w:szCs w:val="22"/>
        </w:rPr>
        <w:t>more than 16 residents are currently in arrears</w:t>
      </w:r>
      <w:r>
        <w:rPr>
          <w:rFonts w:ascii="Calibri" w:eastAsia="Calibri" w:hAnsi="Calibri" w:cs="Calibri"/>
          <w:color w:val="000000"/>
          <w:sz w:val="22"/>
          <w:szCs w:val="22"/>
        </w:rPr>
        <w:t xml:space="preserve"> on their monthly HOA assessments. All residents in arrears have been notified. The majority are expected to bring their accounts current by August. Residents who do not rectify their balance in a timely manner will be subject to additional fines or potential legal action per the association's collection policy. Timely payment by all residents is the single most direct action the community can take to strengthen our operating reserves and reach the </w:t>
      </w:r>
      <w:r w:rsidR="0030554D">
        <w:rPr>
          <w:rFonts w:ascii="Calibri" w:eastAsia="Calibri" w:hAnsi="Calibri" w:cs="Calibri"/>
          <w:color w:val="000000"/>
          <w:sz w:val="22"/>
          <w:szCs w:val="22"/>
        </w:rPr>
        <w:t>best two-month</w:t>
      </w:r>
      <w:r>
        <w:rPr>
          <w:rFonts w:ascii="Calibri" w:eastAsia="Calibri" w:hAnsi="Calibri" w:cs="Calibri"/>
          <w:color w:val="000000"/>
          <w:sz w:val="22"/>
          <w:szCs w:val="22"/>
        </w:rPr>
        <w:t xml:space="preserve"> practice benchmark.</w:t>
      </w:r>
    </w:p>
    <w:p w14:paraId="5E47B3EA" w14:textId="77777777" w:rsidR="00AE531B" w:rsidRDefault="00AE531B">
      <w:pPr>
        <w:pBdr>
          <w:bottom w:val="single" w:sz="6" w:space="0" w:color="000000"/>
        </w:pBdr>
        <w:spacing w:before="240" w:after="240"/>
      </w:pPr>
    </w:p>
    <w:p w14:paraId="7FCE0CAB" w14:textId="77777777" w:rsidR="00AE531B" w:rsidRDefault="00C90EC8">
      <w:pPr>
        <w:pStyle w:val="Heading2"/>
        <w:spacing w:before="320" w:after="80" w:line="312" w:lineRule="auto"/>
      </w:pPr>
      <w:r>
        <w:rPr>
          <w:rFonts w:ascii="Calibri" w:eastAsia="Calibri" w:hAnsi="Calibri" w:cs="Calibri"/>
          <w:color w:val="1A3A5C"/>
          <w:sz w:val="28"/>
          <w:szCs w:val="28"/>
        </w:rPr>
        <w:t>3B — Reserve Interest Income — ~$7,700 Unfavorable (YTD)</w:t>
      </w:r>
    </w:p>
    <w:p w14:paraId="1EC8F535" w14:textId="77777777" w:rsidR="00AE531B" w:rsidRDefault="00C90EC8">
      <w:pPr>
        <w:spacing w:before="60" w:after="240" w:line="360" w:lineRule="auto"/>
      </w:pPr>
      <w:r>
        <w:rPr>
          <w:rFonts w:ascii="Calibri" w:eastAsia="Calibri" w:hAnsi="Calibri" w:cs="Calibri"/>
          <w:color w:val="000000"/>
          <w:sz w:val="22"/>
          <w:szCs w:val="22"/>
        </w:rPr>
        <w:t xml:space="preserve">Reserve interest income is currently showing a year-to-date shortfall of approximately </w:t>
      </w:r>
      <w:r>
        <w:rPr>
          <w:rFonts w:ascii="Calibri" w:eastAsia="Calibri" w:hAnsi="Calibri" w:cs="Calibri"/>
          <w:b/>
          <w:bCs/>
          <w:color w:val="8B1A1A"/>
          <w:sz w:val="22"/>
          <w:szCs w:val="22"/>
        </w:rPr>
        <w:t>$7,700</w:t>
      </w:r>
      <w:r>
        <w:rPr>
          <w:rFonts w:ascii="Calibri" w:eastAsia="Calibri" w:hAnsi="Calibri" w:cs="Calibri"/>
          <w:color w:val="000000"/>
          <w:sz w:val="22"/>
          <w:szCs w:val="22"/>
        </w:rPr>
        <w:t xml:space="preserve"> relative to budget. This reflects an accounting procedure that recognizes interest based on the value of the account if liquidated early rather than at maturity. </w:t>
      </w:r>
      <w:r>
        <w:rPr>
          <w:rFonts w:ascii="Calibri" w:eastAsia="Calibri" w:hAnsi="Calibri" w:cs="Calibri"/>
          <w:b/>
          <w:bCs/>
          <w:color w:val="000000"/>
          <w:sz w:val="22"/>
          <w:szCs w:val="22"/>
        </w:rPr>
        <w:t>This is a timing difference, not a loss.</w:t>
      </w:r>
      <w:r>
        <w:rPr>
          <w:rFonts w:ascii="Calibri" w:eastAsia="Calibri" w:hAnsi="Calibri" w:cs="Calibri"/>
          <w:color w:val="000000"/>
          <w:sz w:val="22"/>
          <w:szCs w:val="22"/>
        </w:rPr>
        <w:t xml:space="preserve"> The Patios are on track to meet the full-year interest income target of approximately </w:t>
      </w:r>
      <w:r>
        <w:rPr>
          <w:rFonts w:ascii="Calibri" w:eastAsia="Calibri" w:hAnsi="Calibri" w:cs="Calibri"/>
          <w:b/>
          <w:bCs/>
          <w:color w:val="000000"/>
          <w:sz w:val="22"/>
          <w:szCs w:val="22"/>
        </w:rPr>
        <w:t>$22,000</w:t>
      </w:r>
      <w:r>
        <w:rPr>
          <w:rFonts w:ascii="Calibri" w:eastAsia="Calibri" w:hAnsi="Calibri" w:cs="Calibri"/>
          <w:color w:val="000000"/>
          <w:sz w:val="22"/>
          <w:szCs w:val="22"/>
        </w:rPr>
        <w:t xml:space="preserve"> by year-end 2026.</w:t>
      </w:r>
    </w:p>
    <w:p w14:paraId="1E73BA1D" w14:textId="77777777" w:rsidR="00AE531B" w:rsidRDefault="00AE531B">
      <w:pPr>
        <w:pBdr>
          <w:bottom w:val="single" w:sz="6" w:space="0" w:color="000000"/>
        </w:pBdr>
        <w:spacing w:before="240" w:after="240"/>
      </w:pPr>
    </w:p>
    <w:p w14:paraId="58B7A56D" w14:textId="77777777" w:rsidR="00AE531B" w:rsidRDefault="00C90EC8">
      <w:pPr>
        <w:pStyle w:val="Heading2"/>
        <w:spacing w:before="320" w:after="80" w:line="312" w:lineRule="auto"/>
      </w:pPr>
      <w:r>
        <w:rPr>
          <w:rFonts w:ascii="Calibri" w:eastAsia="Calibri" w:hAnsi="Calibri" w:cs="Calibri"/>
          <w:color w:val="1A3A5C"/>
          <w:sz w:val="28"/>
          <w:szCs w:val="28"/>
        </w:rPr>
        <w:t>3C — Administrative / G&amp;A Expenses — ~$18,000 Unfavorable (YTD)</w:t>
      </w:r>
    </w:p>
    <w:p w14:paraId="18523DF6" w14:textId="77777777" w:rsidR="00AE531B" w:rsidRDefault="00C90EC8">
      <w:pPr>
        <w:spacing w:before="60" w:after="240" w:line="360" w:lineRule="auto"/>
      </w:pPr>
      <w:r>
        <w:rPr>
          <w:rFonts w:ascii="Calibri" w:eastAsia="Calibri" w:hAnsi="Calibri" w:cs="Calibri"/>
          <w:color w:val="000000"/>
          <w:sz w:val="22"/>
          <w:szCs w:val="22"/>
        </w:rPr>
        <w:t xml:space="preserve">Administrative expenses are running approximately </w:t>
      </w:r>
      <w:r>
        <w:rPr>
          <w:rFonts w:ascii="Calibri" w:eastAsia="Calibri" w:hAnsi="Calibri" w:cs="Calibri"/>
          <w:b/>
          <w:bCs/>
          <w:color w:val="8B1A1A"/>
          <w:sz w:val="22"/>
          <w:szCs w:val="22"/>
        </w:rPr>
        <w:t>$18,000 over</w:t>
      </w:r>
      <w:r>
        <w:rPr>
          <w:rFonts w:ascii="Calibri" w:eastAsia="Calibri" w:hAnsi="Calibri" w:cs="Calibri"/>
          <w:color w:val="000000"/>
          <w:sz w:val="22"/>
          <w:szCs w:val="22"/>
        </w:rPr>
        <w:t xml:space="preserve"> YTD budget. Three specific factors account for this variance:</w:t>
      </w:r>
    </w:p>
    <w:p w14:paraId="261FC768" w14:textId="77777777" w:rsidR="00AE531B" w:rsidRDefault="00C90EC8">
      <w:pPr>
        <w:pStyle w:val="ListParagraph"/>
        <w:numPr>
          <w:ilvl w:val="0"/>
          <w:numId w:val="2"/>
        </w:numPr>
        <w:spacing w:after="60" w:line="408" w:lineRule="auto"/>
      </w:pPr>
      <w:r>
        <w:rPr>
          <w:rFonts w:ascii="Calibri" w:eastAsia="Calibri" w:hAnsi="Calibri" w:cs="Calibri"/>
          <w:b/>
          <w:bCs/>
          <w:color w:val="000000"/>
          <w:sz w:val="22"/>
          <w:szCs w:val="22"/>
        </w:rPr>
        <w:lastRenderedPageBreak/>
        <w:t>Tax concentration:</w:t>
      </w:r>
      <w:r>
        <w:rPr>
          <w:rFonts w:ascii="Calibri" w:eastAsia="Calibri" w:hAnsi="Calibri" w:cs="Calibri"/>
          <w:color w:val="000000"/>
          <w:sz w:val="22"/>
          <w:szCs w:val="22"/>
        </w:rPr>
        <w:t xml:space="preserve"> Taxes on interest earned were paid for both fiscal years 2024 and 2025, creating a one-time concentration of tax expense in the current period.</w:t>
      </w:r>
    </w:p>
    <w:p w14:paraId="2C31ADBC" w14:textId="77777777" w:rsidR="00AE531B" w:rsidRDefault="00C90EC8">
      <w:pPr>
        <w:pStyle w:val="ListParagraph"/>
        <w:numPr>
          <w:ilvl w:val="0"/>
          <w:numId w:val="2"/>
        </w:numPr>
        <w:spacing w:after="60" w:line="408" w:lineRule="auto"/>
      </w:pPr>
      <w:r>
        <w:rPr>
          <w:rFonts w:ascii="Calibri" w:eastAsia="Calibri" w:hAnsi="Calibri" w:cs="Calibri"/>
          <w:b/>
          <w:bCs/>
          <w:color w:val="000000"/>
          <w:sz w:val="22"/>
          <w:szCs w:val="22"/>
        </w:rPr>
        <w:t>Sunstate transition costs:</w:t>
      </w:r>
      <w:r>
        <w:rPr>
          <w:rFonts w:ascii="Calibri" w:eastAsia="Calibri" w:hAnsi="Calibri" w:cs="Calibri"/>
          <w:color w:val="000000"/>
          <w:sz w:val="22"/>
          <w:szCs w:val="22"/>
        </w:rPr>
        <w:t xml:space="preserve"> The migration to Sunstate, our new HOA management company, resulted in startup costs and higher ongoing management fees that were finalized after the 2026 budget was approved. The board was aware of these costs prior to approving the move and made a deliberate decision to absorb them through disciplined budget management — rather than issue a special assessment to residents.</w:t>
      </w:r>
    </w:p>
    <w:p w14:paraId="08E2CDAE" w14:textId="77777777" w:rsidR="00AE531B" w:rsidRDefault="00C90EC8">
      <w:pPr>
        <w:pStyle w:val="ListParagraph"/>
        <w:numPr>
          <w:ilvl w:val="0"/>
          <w:numId w:val="2"/>
        </w:numPr>
        <w:spacing w:after="60" w:line="408" w:lineRule="auto"/>
      </w:pPr>
      <w:r>
        <w:rPr>
          <w:rFonts w:ascii="Calibri" w:eastAsia="Calibri" w:hAnsi="Calibri" w:cs="Calibri"/>
          <w:b/>
          <w:bCs/>
          <w:color w:val="000000"/>
          <w:sz w:val="22"/>
          <w:szCs w:val="22"/>
        </w:rPr>
        <w:t>Planned offset:</w:t>
      </w:r>
      <w:r>
        <w:rPr>
          <w:rFonts w:ascii="Calibri" w:eastAsia="Calibri" w:hAnsi="Calibri" w:cs="Calibri"/>
          <w:color w:val="000000"/>
          <w:sz w:val="22"/>
          <w:szCs w:val="22"/>
        </w:rPr>
        <w:t xml:space="preserve"> The board plans to cover this overage using the approximately </w:t>
      </w:r>
      <w:r>
        <w:rPr>
          <w:rFonts w:ascii="Calibri" w:eastAsia="Calibri" w:hAnsi="Calibri" w:cs="Calibri"/>
          <w:b/>
          <w:bCs/>
          <w:color w:val="1A5C2E"/>
          <w:sz w:val="22"/>
          <w:szCs w:val="22"/>
        </w:rPr>
        <w:t>$21,000</w:t>
      </w:r>
      <w:r>
        <w:rPr>
          <w:rFonts w:ascii="Calibri" w:eastAsia="Calibri" w:hAnsi="Calibri" w:cs="Calibri"/>
          <w:color w:val="000000"/>
          <w:sz w:val="22"/>
          <w:szCs w:val="22"/>
        </w:rPr>
        <w:t xml:space="preserve"> favorable variance in Grounds. In the event Grounds requires additional funds for unanticipated projects, the 2025 Reserve Interest Earned of approximately </w:t>
      </w:r>
      <w:r>
        <w:rPr>
          <w:rFonts w:ascii="Calibri" w:eastAsia="Calibri" w:hAnsi="Calibri" w:cs="Calibri"/>
          <w:b/>
          <w:bCs/>
          <w:color w:val="000000"/>
          <w:sz w:val="22"/>
          <w:szCs w:val="22"/>
        </w:rPr>
        <w:t>$22,000</w:t>
      </w:r>
      <w:r>
        <w:rPr>
          <w:rFonts w:ascii="Calibri" w:eastAsia="Calibri" w:hAnsi="Calibri" w:cs="Calibri"/>
          <w:color w:val="000000"/>
          <w:sz w:val="22"/>
          <w:szCs w:val="22"/>
        </w:rPr>
        <w:t xml:space="preserve"> — budgeted in 2026 for exactly this type of contingency — is available as a backstop.</w:t>
      </w:r>
    </w:p>
    <w:p w14:paraId="7FF95184" w14:textId="77777777" w:rsidR="00AE531B" w:rsidRDefault="00AE531B">
      <w:pPr>
        <w:pBdr>
          <w:bottom w:val="single" w:sz="6" w:space="0" w:color="000000"/>
        </w:pBdr>
        <w:spacing w:before="240" w:after="240"/>
      </w:pPr>
    </w:p>
    <w:p w14:paraId="1AB935D5" w14:textId="77777777" w:rsidR="00AE531B" w:rsidRDefault="00C90EC8">
      <w:pPr>
        <w:pStyle w:val="Heading2"/>
        <w:spacing w:before="320" w:after="80" w:line="312" w:lineRule="auto"/>
      </w:pPr>
      <w:r>
        <w:rPr>
          <w:rFonts w:ascii="Calibri" w:eastAsia="Calibri" w:hAnsi="Calibri" w:cs="Calibri"/>
          <w:color w:val="1A3A5C"/>
          <w:sz w:val="28"/>
          <w:szCs w:val="28"/>
        </w:rPr>
        <w:t xml:space="preserve">3D — Grounds (Grounds, Irrigation, Tennis Court, Special </w:t>
      </w:r>
      <w:proofErr w:type="gramStart"/>
      <w:r>
        <w:rPr>
          <w:rFonts w:ascii="Calibri" w:eastAsia="Calibri" w:hAnsi="Calibri" w:cs="Calibri"/>
          <w:color w:val="1A3A5C"/>
          <w:sz w:val="28"/>
          <w:szCs w:val="28"/>
        </w:rPr>
        <w:t>Projects) —</w:t>
      </w:r>
      <w:proofErr w:type="gramEnd"/>
      <w:r>
        <w:rPr>
          <w:rFonts w:ascii="Calibri" w:eastAsia="Calibri" w:hAnsi="Calibri" w:cs="Calibri"/>
          <w:color w:val="1A3A5C"/>
          <w:sz w:val="28"/>
          <w:szCs w:val="28"/>
        </w:rPr>
        <w:t xml:space="preserve"> ~$21,000 Favorable (YTD)</w:t>
      </w:r>
    </w:p>
    <w:p w14:paraId="4E52F00A" w14:textId="77777777" w:rsidR="00AE531B" w:rsidRDefault="00C90EC8">
      <w:pPr>
        <w:spacing w:before="60" w:after="240" w:line="360" w:lineRule="auto"/>
      </w:pPr>
      <w:proofErr w:type="gramStart"/>
      <w:r>
        <w:rPr>
          <w:rFonts w:ascii="Calibri" w:eastAsia="Calibri" w:hAnsi="Calibri" w:cs="Calibri"/>
          <w:color w:val="000000"/>
          <w:sz w:val="22"/>
          <w:szCs w:val="22"/>
        </w:rPr>
        <w:t>Grounds</w:t>
      </w:r>
      <w:proofErr w:type="gramEnd"/>
      <w:r>
        <w:rPr>
          <w:rFonts w:ascii="Calibri" w:eastAsia="Calibri" w:hAnsi="Calibri" w:cs="Calibri"/>
          <w:color w:val="000000"/>
          <w:sz w:val="22"/>
          <w:szCs w:val="22"/>
        </w:rPr>
        <w:t>-related expenses are performing significantly better than budget. Key drivers:</w:t>
      </w:r>
    </w:p>
    <w:p w14:paraId="5ECF8A4B" w14:textId="77777777" w:rsidR="00AE531B" w:rsidRDefault="00C90EC8">
      <w:pPr>
        <w:pStyle w:val="ListParagraph"/>
        <w:numPr>
          <w:ilvl w:val="0"/>
          <w:numId w:val="1"/>
        </w:numPr>
        <w:spacing w:after="60" w:line="408" w:lineRule="auto"/>
      </w:pPr>
      <w:r>
        <w:rPr>
          <w:rFonts w:ascii="Calibri" w:eastAsia="Calibri" w:hAnsi="Calibri" w:cs="Calibri"/>
          <w:color w:val="000000"/>
          <w:sz w:val="22"/>
          <w:szCs w:val="22"/>
        </w:rPr>
        <w:t xml:space="preserve">The Grounds budget included a </w:t>
      </w:r>
      <w:r>
        <w:rPr>
          <w:rFonts w:ascii="Calibri" w:eastAsia="Calibri" w:hAnsi="Calibri" w:cs="Calibri"/>
          <w:b/>
          <w:bCs/>
          <w:color w:val="000000"/>
          <w:sz w:val="22"/>
          <w:szCs w:val="22"/>
        </w:rPr>
        <w:t>$5,000</w:t>
      </w:r>
      <w:r>
        <w:rPr>
          <w:rFonts w:ascii="Calibri" w:eastAsia="Calibri" w:hAnsi="Calibri" w:cs="Calibri"/>
          <w:color w:val="000000"/>
          <w:sz w:val="22"/>
          <w:szCs w:val="22"/>
        </w:rPr>
        <w:t xml:space="preserve"> intentional cushion for unexpected expenses.</w:t>
      </w:r>
    </w:p>
    <w:p w14:paraId="5AF95734" w14:textId="77777777" w:rsidR="00AE531B" w:rsidRDefault="00C90EC8">
      <w:pPr>
        <w:pStyle w:val="ListParagraph"/>
        <w:numPr>
          <w:ilvl w:val="0"/>
          <w:numId w:val="1"/>
        </w:numPr>
        <w:spacing w:after="60" w:line="408" w:lineRule="auto"/>
      </w:pPr>
      <w:r>
        <w:rPr>
          <w:rFonts w:ascii="Calibri" w:eastAsia="Calibri" w:hAnsi="Calibri" w:cs="Calibri"/>
          <w:b/>
          <w:bCs/>
          <w:color w:val="000000"/>
          <w:sz w:val="22"/>
          <w:szCs w:val="22"/>
        </w:rPr>
        <w:t>Irrigation Maintenance</w:t>
      </w:r>
      <w:r>
        <w:rPr>
          <w:rFonts w:ascii="Calibri" w:eastAsia="Calibri" w:hAnsi="Calibri" w:cs="Calibri"/>
          <w:color w:val="000000"/>
          <w:sz w:val="22"/>
          <w:szCs w:val="22"/>
        </w:rPr>
        <w:t xml:space="preserve"> has a </w:t>
      </w:r>
      <w:r>
        <w:rPr>
          <w:rFonts w:ascii="Calibri" w:eastAsia="Calibri" w:hAnsi="Calibri" w:cs="Calibri"/>
          <w:b/>
          <w:bCs/>
          <w:color w:val="1A5C2E"/>
          <w:sz w:val="22"/>
          <w:szCs w:val="22"/>
        </w:rPr>
        <w:t>$10,500 positive variance.</w:t>
      </w:r>
      <w:r>
        <w:rPr>
          <w:rFonts w:ascii="Calibri" w:eastAsia="Calibri" w:hAnsi="Calibri" w:cs="Calibri"/>
          <w:color w:val="000000"/>
          <w:sz w:val="22"/>
          <w:szCs w:val="22"/>
        </w:rPr>
        <w:t xml:space="preserve"> Labor and resources have been focused on the installation of the newly approved modern irrigation system, funded through the Irrigation Reserve (~$21,500). The $10,500 positive variance in this line is earmarked to begin replenishing the Irrigation Reserve.</w:t>
      </w:r>
    </w:p>
    <w:p w14:paraId="2A935EAD" w14:textId="77777777" w:rsidR="00AE531B" w:rsidRDefault="00C90EC8">
      <w:pPr>
        <w:pStyle w:val="ListParagraph"/>
        <w:numPr>
          <w:ilvl w:val="0"/>
          <w:numId w:val="1"/>
        </w:numPr>
        <w:spacing w:after="60" w:line="408" w:lineRule="auto"/>
      </w:pPr>
      <w:r>
        <w:rPr>
          <w:rFonts w:ascii="Calibri" w:eastAsia="Calibri" w:hAnsi="Calibri" w:cs="Calibri"/>
          <w:b/>
          <w:bCs/>
          <w:color w:val="000000"/>
          <w:sz w:val="22"/>
          <w:szCs w:val="22"/>
        </w:rPr>
        <w:t>Special Projects</w:t>
      </w:r>
      <w:r>
        <w:rPr>
          <w:rFonts w:ascii="Calibri" w:eastAsia="Calibri" w:hAnsi="Calibri" w:cs="Calibri"/>
          <w:color w:val="000000"/>
          <w:sz w:val="22"/>
          <w:szCs w:val="22"/>
        </w:rPr>
        <w:t xml:space="preserve"> has a </w:t>
      </w:r>
      <w:r>
        <w:rPr>
          <w:rFonts w:ascii="Calibri" w:eastAsia="Calibri" w:hAnsi="Calibri" w:cs="Calibri"/>
          <w:b/>
          <w:bCs/>
          <w:color w:val="1A5C2E"/>
          <w:sz w:val="22"/>
          <w:szCs w:val="22"/>
        </w:rPr>
        <w:t>$13,000 positive variance</w:t>
      </w:r>
      <w:r>
        <w:rPr>
          <w:rFonts w:ascii="Calibri" w:eastAsia="Calibri" w:hAnsi="Calibri" w:cs="Calibri"/>
          <w:color w:val="000000"/>
          <w:sz w:val="22"/>
          <w:szCs w:val="22"/>
        </w:rPr>
        <w:t>, as no new special project initiatives have been launched. These funds are earmarked to complete replenishment of the remaining Irrigation Reserve draw.</w:t>
      </w:r>
    </w:p>
    <w:p w14:paraId="72A3E531" w14:textId="77777777" w:rsidR="00AE531B" w:rsidRDefault="00C90EC8">
      <w:pPr>
        <w:pStyle w:val="ListParagraph"/>
        <w:numPr>
          <w:ilvl w:val="0"/>
          <w:numId w:val="1"/>
        </w:numPr>
        <w:spacing w:after="60" w:line="408" w:lineRule="auto"/>
      </w:pPr>
      <w:r>
        <w:rPr>
          <w:rFonts w:ascii="Calibri" w:eastAsia="Calibri" w:hAnsi="Calibri" w:cs="Calibri"/>
          <w:b/>
          <w:bCs/>
          <w:color w:val="000000"/>
          <w:sz w:val="22"/>
          <w:szCs w:val="22"/>
        </w:rPr>
        <w:t>Tennis Court</w:t>
      </w:r>
      <w:r>
        <w:rPr>
          <w:rFonts w:ascii="Calibri" w:eastAsia="Calibri" w:hAnsi="Calibri" w:cs="Calibri"/>
          <w:color w:val="000000"/>
          <w:sz w:val="22"/>
          <w:szCs w:val="22"/>
        </w:rPr>
        <w:t xml:space="preserve"> expenses are </w:t>
      </w:r>
      <w:proofErr w:type="gramStart"/>
      <w:r>
        <w:rPr>
          <w:rFonts w:ascii="Calibri" w:eastAsia="Calibri" w:hAnsi="Calibri" w:cs="Calibri"/>
          <w:color w:val="000000"/>
          <w:sz w:val="22"/>
          <w:szCs w:val="22"/>
        </w:rPr>
        <w:t>tracking</w:t>
      </w:r>
      <w:proofErr w:type="gramEnd"/>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to budget</w:t>
      </w:r>
      <w:proofErr w:type="gramEnd"/>
      <w:r>
        <w:rPr>
          <w:rFonts w:ascii="Calibri" w:eastAsia="Calibri" w:hAnsi="Calibri" w:cs="Calibri"/>
          <w:color w:val="000000"/>
          <w:sz w:val="22"/>
          <w:szCs w:val="22"/>
        </w:rPr>
        <w:t xml:space="preserve"> with no significant variance </w:t>
      </w:r>
      <w:proofErr w:type="gramStart"/>
      <w:r>
        <w:rPr>
          <w:rFonts w:ascii="Calibri" w:eastAsia="Calibri" w:hAnsi="Calibri" w:cs="Calibri"/>
          <w:color w:val="000000"/>
          <w:sz w:val="22"/>
          <w:szCs w:val="22"/>
        </w:rPr>
        <w:t>at this time</w:t>
      </w:r>
      <w:proofErr w:type="gramEnd"/>
      <w:r>
        <w:rPr>
          <w:rFonts w:ascii="Calibri" w:eastAsia="Calibri" w:hAnsi="Calibri" w:cs="Calibri"/>
          <w:color w:val="000000"/>
          <w:sz w:val="22"/>
          <w:szCs w:val="22"/>
        </w:rPr>
        <w:t>.</w:t>
      </w:r>
    </w:p>
    <w:p w14:paraId="149C7A8B" w14:textId="77777777" w:rsidR="00AE531B" w:rsidRDefault="00AE531B">
      <w:pPr>
        <w:pBdr>
          <w:bottom w:val="single" w:sz="6" w:space="0" w:color="000000"/>
        </w:pBdr>
        <w:spacing w:before="240" w:after="240"/>
      </w:pPr>
    </w:p>
    <w:p w14:paraId="5215F625" w14:textId="77777777" w:rsidR="00AE531B" w:rsidRDefault="00C90EC8">
      <w:pPr>
        <w:pStyle w:val="Heading2"/>
        <w:spacing w:before="320" w:after="80" w:line="312" w:lineRule="auto"/>
      </w:pPr>
      <w:r>
        <w:rPr>
          <w:rFonts w:ascii="Calibri" w:eastAsia="Calibri" w:hAnsi="Calibri" w:cs="Calibri"/>
          <w:color w:val="1A3A5C"/>
          <w:sz w:val="28"/>
          <w:szCs w:val="28"/>
        </w:rPr>
        <w:t>3E — Pool &amp; Recreation — ~$500 Favorable</w:t>
      </w:r>
    </w:p>
    <w:p w14:paraId="2F90C681" w14:textId="77777777" w:rsidR="00AE531B" w:rsidRDefault="00C90EC8">
      <w:pPr>
        <w:spacing w:before="60" w:after="240" w:line="360" w:lineRule="auto"/>
      </w:pPr>
      <w:r>
        <w:rPr>
          <w:rFonts w:ascii="Calibri" w:eastAsia="Calibri" w:hAnsi="Calibri" w:cs="Calibri"/>
          <w:color w:val="000000"/>
          <w:sz w:val="22"/>
          <w:szCs w:val="22"/>
        </w:rPr>
        <w:lastRenderedPageBreak/>
        <w:t xml:space="preserve">The monthly pool maintenance contract was successfully renegotiated at a lower rate, resulting in a modest favorable variance of approximately </w:t>
      </w:r>
      <w:r>
        <w:rPr>
          <w:rFonts w:ascii="Calibri" w:eastAsia="Calibri" w:hAnsi="Calibri" w:cs="Calibri"/>
          <w:b/>
          <w:bCs/>
          <w:color w:val="1A5C2E"/>
          <w:sz w:val="22"/>
          <w:szCs w:val="22"/>
        </w:rPr>
        <w:t>$500</w:t>
      </w:r>
      <w:r>
        <w:rPr>
          <w:rFonts w:ascii="Calibri" w:eastAsia="Calibri" w:hAnsi="Calibri" w:cs="Calibri"/>
          <w:color w:val="000000"/>
          <w:sz w:val="22"/>
          <w:szCs w:val="22"/>
        </w:rPr>
        <w:t>.</w:t>
      </w:r>
    </w:p>
    <w:p w14:paraId="601C0D44" w14:textId="77777777" w:rsidR="00AE531B" w:rsidRDefault="00AE531B">
      <w:pPr>
        <w:pBdr>
          <w:bottom w:val="single" w:sz="6" w:space="0" w:color="000000"/>
        </w:pBdr>
        <w:spacing w:before="240" w:after="240"/>
      </w:pPr>
    </w:p>
    <w:p w14:paraId="2F35D1B4" w14:textId="77777777" w:rsidR="00AE531B" w:rsidRDefault="00C90EC8">
      <w:pPr>
        <w:pStyle w:val="Heading2"/>
        <w:spacing w:before="320" w:after="80" w:line="312" w:lineRule="auto"/>
      </w:pPr>
      <w:r>
        <w:rPr>
          <w:rFonts w:ascii="Calibri" w:eastAsia="Calibri" w:hAnsi="Calibri" w:cs="Calibri"/>
          <w:color w:val="1A3A5C"/>
          <w:sz w:val="28"/>
          <w:szCs w:val="28"/>
        </w:rPr>
        <w:t>3F — Repairs &amp; Maintenance — Clubhouse — ~$1,300 Favorable</w:t>
      </w:r>
    </w:p>
    <w:p w14:paraId="3EBAC4BA" w14:textId="77777777" w:rsidR="00AE531B" w:rsidRDefault="00C90EC8">
      <w:pPr>
        <w:spacing w:before="60" w:after="240" w:line="360" w:lineRule="auto"/>
      </w:pPr>
      <w:r>
        <w:rPr>
          <w:rFonts w:ascii="Calibri" w:eastAsia="Calibri" w:hAnsi="Calibri" w:cs="Calibri"/>
          <w:color w:val="000000"/>
          <w:sz w:val="22"/>
          <w:szCs w:val="22"/>
        </w:rPr>
        <w:t xml:space="preserve">A favorable variance of approximately </w:t>
      </w:r>
      <w:r>
        <w:rPr>
          <w:rFonts w:ascii="Calibri" w:eastAsia="Calibri" w:hAnsi="Calibri" w:cs="Calibri"/>
          <w:b/>
          <w:bCs/>
          <w:color w:val="1A5C2E"/>
          <w:sz w:val="22"/>
          <w:szCs w:val="22"/>
        </w:rPr>
        <w:t>$1,300</w:t>
      </w:r>
      <w:r>
        <w:rPr>
          <w:rFonts w:ascii="Calibri" w:eastAsia="Calibri" w:hAnsi="Calibri" w:cs="Calibri"/>
          <w:color w:val="000000"/>
          <w:sz w:val="22"/>
          <w:szCs w:val="22"/>
        </w:rPr>
        <w:t xml:space="preserve"> has been realized year-to-date. These funds are being held within the operating budget to fund scheduled Clubhouse-related projects in the second half of 2026.</w:t>
      </w:r>
    </w:p>
    <w:p w14:paraId="1E19E159" w14:textId="77777777" w:rsidR="00AE531B" w:rsidRDefault="00AE531B">
      <w:pPr>
        <w:pBdr>
          <w:bottom w:val="single" w:sz="6" w:space="0" w:color="000000"/>
        </w:pBdr>
        <w:spacing w:before="240" w:after="240"/>
      </w:pPr>
    </w:p>
    <w:p w14:paraId="61E6DBA3" w14:textId="77777777" w:rsidR="00AE531B" w:rsidRDefault="00C90EC8">
      <w:pPr>
        <w:pStyle w:val="Heading2"/>
        <w:spacing w:before="320" w:after="80" w:line="312" w:lineRule="auto"/>
      </w:pPr>
      <w:r>
        <w:rPr>
          <w:rFonts w:ascii="Calibri" w:eastAsia="Calibri" w:hAnsi="Calibri" w:cs="Calibri"/>
          <w:color w:val="1A3A5C"/>
          <w:sz w:val="28"/>
          <w:szCs w:val="28"/>
        </w:rPr>
        <w:t>3G — Utilities — ~$400 Unfavorable</w:t>
      </w:r>
    </w:p>
    <w:p w14:paraId="7084E0EA" w14:textId="77777777" w:rsidR="00AE531B" w:rsidRDefault="00C90EC8">
      <w:pPr>
        <w:spacing w:before="60" w:after="240" w:line="360" w:lineRule="auto"/>
      </w:pPr>
      <w:r>
        <w:rPr>
          <w:rFonts w:ascii="Calibri" w:eastAsia="Calibri" w:hAnsi="Calibri" w:cs="Calibri"/>
          <w:color w:val="000000"/>
          <w:sz w:val="22"/>
          <w:szCs w:val="22"/>
        </w:rPr>
        <w:t xml:space="preserve">Utility expenses are slightly over budget by approximately </w:t>
      </w:r>
      <w:r>
        <w:rPr>
          <w:rFonts w:ascii="Calibri" w:eastAsia="Calibri" w:hAnsi="Calibri" w:cs="Calibri"/>
          <w:b/>
          <w:bCs/>
          <w:color w:val="8B1A1A"/>
          <w:sz w:val="22"/>
          <w:szCs w:val="22"/>
        </w:rPr>
        <w:t>$400</w:t>
      </w:r>
      <w:r>
        <w:rPr>
          <w:rFonts w:ascii="Calibri" w:eastAsia="Calibri" w:hAnsi="Calibri" w:cs="Calibri"/>
          <w:color w:val="000000"/>
          <w:sz w:val="22"/>
          <w:szCs w:val="22"/>
        </w:rPr>
        <w:t xml:space="preserve">. This overage is fully offset by the Pool &amp; Recreation favorable variance of approximately </w:t>
      </w:r>
      <w:r>
        <w:rPr>
          <w:rFonts w:ascii="Calibri" w:eastAsia="Calibri" w:hAnsi="Calibri" w:cs="Calibri"/>
          <w:b/>
          <w:bCs/>
          <w:color w:val="1A5C2E"/>
          <w:sz w:val="22"/>
          <w:szCs w:val="22"/>
        </w:rPr>
        <w:t>$500</w:t>
      </w:r>
      <w:r>
        <w:rPr>
          <w:rFonts w:ascii="Calibri" w:eastAsia="Calibri" w:hAnsi="Calibri" w:cs="Calibri"/>
          <w:color w:val="000000"/>
          <w:sz w:val="22"/>
          <w:szCs w:val="22"/>
        </w:rPr>
        <w:t>, resulting in no net impact to the operating budget.</w:t>
      </w:r>
    </w:p>
    <w:p w14:paraId="34B57602" w14:textId="77777777" w:rsidR="00AE531B" w:rsidRDefault="00AE531B">
      <w:pPr>
        <w:pBdr>
          <w:bottom w:val="single" w:sz="6" w:space="0" w:color="000000"/>
        </w:pBdr>
        <w:spacing w:before="240" w:after="240"/>
      </w:pPr>
    </w:p>
    <w:p w14:paraId="307CEE17" w14:textId="77777777" w:rsidR="00AE531B" w:rsidRDefault="00C90EC8">
      <w:pPr>
        <w:spacing w:before="60" w:after="60" w:line="360" w:lineRule="auto"/>
      </w:pPr>
      <w:r>
        <w:rPr>
          <w:rFonts w:ascii="Calibri" w:eastAsia="Calibri" w:hAnsi="Calibri" w:cs="Calibri"/>
          <w:color w:val="555555"/>
          <w:spacing w:val="16"/>
          <w:sz w:val="18"/>
          <w:szCs w:val="18"/>
        </w:rPr>
        <w:t>SECTION 4</w:t>
      </w:r>
    </w:p>
    <w:p w14:paraId="43C6A725" w14:textId="77777777" w:rsidR="00AE531B" w:rsidRDefault="00C90EC8">
      <w:pPr>
        <w:pStyle w:val="Heading1"/>
        <w:spacing w:before="440" w:after="120" w:line="312" w:lineRule="auto"/>
      </w:pPr>
      <w:r>
        <w:rPr>
          <w:rFonts w:ascii="Calibri" w:eastAsia="Calibri" w:hAnsi="Calibri" w:cs="Calibri"/>
          <w:color w:val="1A3A5C"/>
          <w:sz w:val="40"/>
          <w:szCs w:val="40"/>
        </w:rPr>
        <w:t>Reserve Budget Status</w:t>
      </w:r>
    </w:p>
    <w:p w14:paraId="37071886" w14:textId="77777777" w:rsidR="00AE531B" w:rsidRDefault="00C90EC8">
      <w:pPr>
        <w:pStyle w:val="Heading2"/>
        <w:spacing w:before="320" w:after="80" w:line="312" w:lineRule="auto"/>
      </w:pPr>
      <w:r>
        <w:rPr>
          <w:rFonts w:ascii="Calibri" w:eastAsia="Calibri" w:hAnsi="Calibri" w:cs="Calibri"/>
          <w:color w:val="1A3A5C"/>
          <w:sz w:val="28"/>
          <w:szCs w:val="28"/>
        </w:rPr>
        <w:t>4A — Overview</w:t>
      </w:r>
    </w:p>
    <w:p w14:paraId="26449D9B" w14:textId="77777777" w:rsidR="00AE531B" w:rsidRDefault="00C90EC8">
      <w:pPr>
        <w:spacing w:before="60" w:after="240" w:line="360" w:lineRule="auto"/>
      </w:pPr>
      <w:proofErr w:type="gramStart"/>
      <w:r>
        <w:rPr>
          <w:rFonts w:ascii="Calibri" w:eastAsia="Calibri" w:hAnsi="Calibri" w:cs="Calibri"/>
          <w:color w:val="000000"/>
          <w:sz w:val="22"/>
          <w:szCs w:val="22"/>
        </w:rPr>
        <w:t>With the exception of</w:t>
      </w:r>
      <w:proofErr w:type="gramEnd"/>
      <w:r>
        <w:rPr>
          <w:rFonts w:ascii="Calibri" w:eastAsia="Calibri" w:hAnsi="Calibri" w:cs="Calibri"/>
          <w:color w:val="000000"/>
          <w:sz w:val="22"/>
          <w:szCs w:val="22"/>
        </w:rPr>
        <w:t xml:space="preserve"> the planned Irrigation Reserve </w:t>
      </w:r>
      <w:proofErr w:type="gramStart"/>
      <w:r>
        <w:rPr>
          <w:rFonts w:ascii="Calibri" w:eastAsia="Calibri" w:hAnsi="Calibri" w:cs="Calibri"/>
          <w:color w:val="000000"/>
          <w:sz w:val="22"/>
          <w:szCs w:val="22"/>
        </w:rPr>
        <w:t>draw</w:t>
      </w:r>
      <w:proofErr w:type="gramEnd"/>
      <w:r>
        <w:rPr>
          <w:rFonts w:ascii="Calibri" w:eastAsia="Calibri" w:hAnsi="Calibri" w:cs="Calibri"/>
          <w:color w:val="000000"/>
          <w:sz w:val="22"/>
          <w:szCs w:val="22"/>
        </w:rPr>
        <w:t xml:space="preserve"> noted below, no other reserve accounts have required funding year-to-date. The association's reserves are funded annually per the adopted reserve study and invested in interest-bearing accounts.</w:t>
      </w:r>
    </w:p>
    <w:p w14:paraId="315EFD61" w14:textId="77777777" w:rsidR="00AE531B" w:rsidRDefault="00AE531B">
      <w:pPr>
        <w:pBdr>
          <w:bottom w:val="single" w:sz="6" w:space="0" w:color="000000"/>
        </w:pBdr>
        <w:spacing w:before="240" w:after="240"/>
      </w:pPr>
    </w:p>
    <w:p w14:paraId="242B4350" w14:textId="77777777" w:rsidR="00AE531B" w:rsidRDefault="00C90EC8">
      <w:pPr>
        <w:pStyle w:val="Heading2"/>
        <w:spacing w:before="320" w:after="80" w:line="312" w:lineRule="auto"/>
      </w:pPr>
      <w:r>
        <w:rPr>
          <w:rFonts w:ascii="Calibri" w:eastAsia="Calibri" w:hAnsi="Calibri" w:cs="Calibri"/>
          <w:color w:val="1A3A5C"/>
          <w:sz w:val="28"/>
          <w:szCs w:val="28"/>
        </w:rPr>
        <w:t>4B — Irrigation Reserve Draw</w:t>
      </w:r>
    </w:p>
    <w:p w14:paraId="2AC21C12" w14:textId="77777777" w:rsidR="00AE531B" w:rsidRDefault="00C90EC8">
      <w:pPr>
        <w:spacing w:before="60" w:after="240" w:line="360" w:lineRule="auto"/>
      </w:pPr>
      <w:r>
        <w:rPr>
          <w:rFonts w:ascii="Calibri" w:eastAsia="Calibri" w:hAnsi="Calibri" w:cs="Calibri"/>
          <w:color w:val="000000"/>
          <w:sz w:val="22"/>
          <w:szCs w:val="22"/>
        </w:rPr>
        <w:t xml:space="preserve">Approximately </w:t>
      </w:r>
      <w:r>
        <w:rPr>
          <w:rFonts w:ascii="Calibri" w:eastAsia="Calibri" w:hAnsi="Calibri" w:cs="Calibri"/>
          <w:b/>
          <w:bCs/>
          <w:color w:val="000000"/>
          <w:sz w:val="22"/>
          <w:szCs w:val="22"/>
        </w:rPr>
        <w:t>$21,500</w:t>
      </w:r>
      <w:r>
        <w:rPr>
          <w:rFonts w:ascii="Calibri" w:eastAsia="Calibri" w:hAnsi="Calibri" w:cs="Calibri"/>
          <w:color w:val="000000"/>
          <w:sz w:val="22"/>
          <w:szCs w:val="22"/>
        </w:rPr>
        <w:t xml:space="preserve"> was drawn from the Irrigation Pumps reserve category to fund the installation of the association's newly approved modern irrigation system. This expenditure was evaluated and approved by the board. As described in Section 3D, replenishment is planned </w:t>
      </w:r>
      <w:proofErr w:type="gramStart"/>
      <w:r>
        <w:rPr>
          <w:rFonts w:ascii="Calibri" w:eastAsia="Calibri" w:hAnsi="Calibri" w:cs="Calibri"/>
          <w:color w:val="000000"/>
          <w:sz w:val="22"/>
          <w:szCs w:val="22"/>
        </w:rPr>
        <w:t>using</w:t>
      </w:r>
      <w:proofErr w:type="gramEnd"/>
      <w:r>
        <w:rPr>
          <w:rFonts w:ascii="Calibri" w:eastAsia="Calibri" w:hAnsi="Calibri" w:cs="Calibri"/>
          <w:color w:val="000000"/>
          <w:sz w:val="22"/>
          <w:szCs w:val="22"/>
        </w:rPr>
        <w:t xml:space="preserve"> the </w:t>
      </w:r>
      <w:r>
        <w:rPr>
          <w:rFonts w:ascii="Calibri" w:eastAsia="Calibri" w:hAnsi="Calibri" w:cs="Calibri"/>
          <w:b/>
          <w:bCs/>
          <w:color w:val="1A5C2E"/>
          <w:sz w:val="22"/>
          <w:szCs w:val="22"/>
        </w:rPr>
        <w:t>$10,500</w:t>
      </w:r>
      <w:r>
        <w:rPr>
          <w:rFonts w:ascii="Calibri" w:eastAsia="Calibri" w:hAnsi="Calibri" w:cs="Calibri"/>
          <w:color w:val="000000"/>
          <w:sz w:val="22"/>
          <w:szCs w:val="22"/>
        </w:rPr>
        <w:t xml:space="preserve"> Irrigation Maintenance positive variance and the </w:t>
      </w:r>
      <w:r>
        <w:rPr>
          <w:rFonts w:ascii="Calibri" w:eastAsia="Calibri" w:hAnsi="Calibri" w:cs="Calibri"/>
          <w:b/>
          <w:bCs/>
          <w:color w:val="1A5C2E"/>
          <w:sz w:val="22"/>
          <w:szCs w:val="22"/>
        </w:rPr>
        <w:t>$13,000</w:t>
      </w:r>
      <w:r>
        <w:rPr>
          <w:rFonts w:ascii="Calibri" w:eastAsia="Calibri" w:hAnsi="Calibri" w:cs="Calibri"/>
          <w:color w:val="000000"/>
          <w:sz w:val="22"/>
          <w:szCs w:val="22"/>
        </w:rPr>
        <w:t xml:space="preserve"> Special Projects positive variance — together more than covering the full draw.</w:t>
      </w:r>
    </w:p>
    <w:p w14:paraId="73BBA75E" w14:textId="77777777" w:rsidR="00AE531B" w:rsidRDefault="00AE531B">
      <w:pPr>
        <w:pBdr>
          <w:bottom w:val="single" w:sz="6" w:space="0" w:color="000000"/>
        </w:pBdr>
        <w:spacing w:before="240" w:after="240"/>
      </w:pPr>
    </w:p>
    <w:p w14:paraId="0110B045" w14:textId="77777777" w:rsidR="00AE531B" w:rsidRDefault="00C90EC8">
      <w:pPr>
        <w:pStyle w:val="Heading2"/>
        <w:spacing w:before="320" w:after="80" w:line="312" w:lineRule="auto"/>
      </w:pPr>
      <w:r>
        <w:rPr>
          <w:rFonts w:ascii="Calibri" w:eastAsia="Calibri" w:hAnsi="Calibri" w:cs="Calibri"/>
          <w:color w:val="1A3A5C"/>
          <w:sz w:val="28"/>
          <w:szCs w:val="28"/>
        </w:rPr>
        <w:t>4C — Reserve Category Funding — Best Practices &amp; Status</w:t>
      </w:r>
    </w:p>
    <w:p w14:paraId="784708ED" w14:textId="77777777" w:rsidR="00AE531B" w:rsidRDefault="00C90EC8">
      <w:pPr>
        <w:spacing w:before="60" w:after="240" w:line="360" w:lineRule="auto"/>
      </w:pPr>
      <w:r>
        <w:rPr>
          <w:rFonts w:ascii="Calibri" w:eastAsia="Calibri" w:hAnsi="Calibri" w:cs="Calibri"/>
          <w:color w:val="000000"/>
          <w:sz w:val="22"/>
          <w:szCs w:val="22"/>
        </w:rPr>
        <w:t xml:space="preserve">Industry best practice for HOA reserve accounts is to maintain a minimum of </w:t>
      </w:r>
      <w:r>
        <w:rPr>
          <w:rFonts w:ascii="Calibri" w:eastAsia="Calibri" w:hAnsi="Calibri" w:cs="Calibri"/>
          <w:b/>
          <w:bCs/>
          <w:color w:val="000000"/>
          <w:sz w:val="22"/>
          <w:szCs w:val="22"/>
        </w:rPr>
        <w:t>70%</w:t>
      </w:r>
      <w:r>
        <w:rPr>
          <w:rFonts w:ascii="Calibri" w:eastAsia="Calibri" w:hAnsi="Calibri" w:cs="Calibri"/>
          <w:color w:val="000000"/>
          <w:sz w:val="22"/>
          <w:szCs w:val="22"/>
        </w:rPr>
        <w:t xml:space="preserve"> of projected replacement costs in each reserve category. </w:t>
      </w:r>
      <w:proofErr w:type="gramStart"/>
      <w:r>
        <w:rPr>
          <w:rFonts w:ascii="Calibri" w:eastAsia="Calibri" w:hAnsi="Calibri" w:cs="Calibri"/>
          <w:color w:val="000000"/>
          <w:sz w:val="22"/>
          <w:szCs w:val="22"/>
        </w:rPr>
        <w:t>The majority of</w:t>
      </w:r>
      <w:proofErr w:type="gramEnd"/>
      <w:r>
        <w:rPr>
          <w:rFonts w:ascii="Calibri" w:eastAsia="Calibri" w:hAnsi="Calibri" w:cs="Calibri"/>
          <w:color w:val="000000"/>
          <w:sz w:val="22"/>
          <w:szCs w:val="22"/>
        </w:rPr>
        <w:t xml:space="preserve"> Patio Homes' reserve categories meet or exceed this threshold. The categories currently </w:t>
      </w:r>
      <w:proofErr w:type="gramStart"/>
      <w:r>
        <w:rPr>
          <w:rFonts w:ascii="Calibri" w:eastAsia="Calibri" w:hAnsi="Calibri" w:cs="Calibri"/>
          <w:color w:val="000000"/>
          <w:sz w:val="22"/>
          <w:szCs w:val="22"/>
        </w:rPr>
        <w:t>funded</w:t>
      </w:r>
      <w:proofErr w:type="gramEnd"/>
      <w:r>
        <w:rPr>
          <w:rFonts w:ascii="Calibri" w:eastAsia="Calibri" w:hAnsi="Calibri" w:cs="Calibri"/>
          <w:color w:val="000000"/>
          <w:sz w:val="22"/>
          <w:szCs w:val="22"/>
        </w:rPr>
        <w:t xml:space="preserve"> below 70% are listed below, each with specific context explaining why the current percentage is appropriate.</w:t>
      </w:r>
    </w:p>
    <w:p w14:paraId="582E5F56" w14:textId="77777777" w:rsidR="00AE531B" w:rsidRDefault="00AE531B">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696"/>
        <w:gridCol w:w="1002"/>
        <w:gridCol w:w="6652"/>
      </w:tblGrid>
      <w:tr w:rsidR="00AE531B" w14:paraId="352468F4" w14:textId="77777777">
        <w:trPr>
          <w:tblHeader/>
        </w:trPr>
        <w:tc>
          <w:tcPr>
            <w:tcW w:w="950" w:type="pct"/>
            <w:shd w:val="clear" w:color="auto" w:fill="1A3A5C"/>
            <w:tcMar>
              <w:top w:w="90" w:type="dxa"/>
              <w:left w:w="135" w:type="dxa"/>
              <w:bottom w:w="90" w:type="dxa"/>
              <w:right w:w="135" w:type="dxa"/>
            </w:tcMar>
          </w:tcPr>
          <w:p w14:paraId="060C5990" w14:textId="77777777" w:rsidR="00AE531B" w:rsidRDefault="00C90EC8">
            <w:r>
              <w:rPr>
                <w:rFonts w:ascii="Calibri" w:eastAsia="Calibri" w:hAnsi="Calibri" w:cs="Calibri"/>
                <w:b/>
                <w:bCs/>
                <w:color w:val="FFFFFF"/>
                <w:sz w:val="22"/>
                <w:szCs w:val="22"/>
              </w:rPr>
              <w:t>Reserve Category</w:t>
            </w:r>
          </w:p>
        </w:tc>
        <w:tc>
          <w:tcPr>
            <w:tcW w:w="450" w:type="pct"/>
            <w:shd w:val="clear" w:color="auto" w:fill="1A3A5C"/>
            <w:tcMar>
              <w:top w:w="90" w:type="dxa"/>
              <w:left w:w="135" w:type="dxa"/>
              <w:bottom w:w="90" w:type="dxa"/>
              <w:right w:w="135" w:type="dxa"/>
            </w:tcMar>
          </w:tcPr>
          <w:p w14:paraId="22D48B55" w14:textId="77777777" w:rsidR="00AE531B" w:rsidRDefault="00C90EC8">
            <w:r>
              <w:rPr>
                <w:rFonts w:ascii="Calibri" w:eastAsia="Calibri" w:hAnsi="Calibri" w:cs="Calibri"/>
                <w:b/>
                <w:bCs/>
                <w:color w:val="FFFFFF"/>
                <w:sz w:val="22"/>
                <w:szCs w:val="22"/>
              </w:rPr>
              <w:t>Current Funding %</w:t>
            </w:r>
          </w:p>
        </w:tc>
        <w:tc>
          <w:tcPr>
            <w:tcW w:w="3600" w:type="pct"/>
            <w:shd w:val="clear" w:color="auto" w:fill="1A3A5C"/>
            <w:tcMar>
              <w:top w:w="90" w:type="dxa"/>
              <w:left w:w="135" w:type="dxa"/>
              <w:bottom w:w="90" w:type="dxa"/>
              <w:right w:w="135" w:type="dxa"/>
            </w:tcMar>
          </w:tcPr>
          <w:p w14:paraId="4EF20130" w14:textId="77777777" w:rsidR="00AE531B" w:rsidRDefault="00C90EC8">
            <w:r>
              <w:rPr>
                <w:rFonts w:ascii="Calibri" w:eastAsia="Calibri" w:hAnsi="Calibri" w:cs="Calibri"/>
                <w:b/>
                <w:bCs/>
                <w:color w:val="FFFFFF"/>
                <w:sz w:val="22"/>
                <w:szCs w:val="22"/>
              </w:rPr>
              <w:t>Context</w:t>
            </w:r>
          </w:p>
        </w:tc>
      </w:tr>
      <w:tr w:rsidR="00AE531B" w14:paraId="390993FC" w14:textId="77777777">
        <w:tc>
          <w:tcPr>
            <w:tcW w:w="950" w:type="pct"/>
            <w:tcMar>
              <w:top w:w="90" w:type="dxa"/>
              <w:left w:w="135" w:type="dxa"/>
              <w:bottom w:w="90" w:type="dxa"/>
              <w:right w:w="135" w:type="dxa"/>
            </w:tcMar>
          </w:tcPr>
          <w:p w14:paraId="50DB1C4D" w14:textId="77777777" w:rsidR="00AE531B" w:rsidRDefault="00C90EC8">
            <w:r>
              <w:rPr>
                <w:rFonts w:ascii="Calibri" w:eastAsia="Calibri" w:hAnsi="Calibri" w:cs="Calibri"/>
                <w:color w:val="000000"/>
                <w:sz w:val="22"/>
                <w:szCs w:val="22"/>
              </w:rPr>
              <w:t>Tennis Courts</w:t>
            </w:r>
          </w:p>
        </w:tc>
        <w:tc>
          <w:tcPr>
            <w:tcW w:w="450" w:type="pct"/>
            <w:tcMar>
              <w:top w:w="90" w:type="dxa"/>
              <w:left w:w="135" w:type="dxa"/>
              <w:bottom w:w="90" w:type="dxa"/>
              <w:right w:w="135" w:type="dxa"/>
            </w:tcMar>
          </w:tcPr>
          <w:p w14:paraId="00D990A4" w14:textId="77777777" w:rsidR="00AE531B" w:rsidRDefault="00C90EC8">
            <w:r>
              <w:rPr>
                <w:rFonts w:ascii="Calibri" w:eastAsia="Calibri" w:hAnsi="Calibri" w:cs="Calibri"/>
                <w:b/>
                <w:bCs/>
                <w:color w:val="8B1A1A"/>
                <w:sz w:val="22"/>
                <w:szCs w:val="22"/>
              </w:rPr>
              <w:t>9%</w:t>
            </w:r>
          </w:p>
        </w:tc>
        <w:tc>
          <w:tcPr>
            <w:tcW w:w="3600" w:type="pct"/>
            <w:tcMar>
              <w:top w:w="90" w:type="dxa"/>
              <w:left w:w="135" w:type="dxa"/>
              <w:bottom w:w="90" w:type="dxa"/>
              <w:right w:w="135" w:type="dxa"/>
            </w:tcMar>
          </w:tcPr>
          <w:p w14:paraId="358E8ED0" w14:textId="77777777" w:rsidR="00AE531B" w:rsidRDefault="00C90EC8">
            <w:r>
              <w:rPr>
                <w:rFonts w:ascii="Calibri" w:eastAsia="Calibri" w:hAnsi="Calibri" w:cs="Calibri"/>
                <w:color w:val="000000"/>
                <w:sz w:val="22"/>
                <w:szCs w:val="22"/>
              </w:rPr>
              <w:t>Court was fully refurbished in late 2025 with a life expectancy of 10+ years. Estimated remaining life has been conservatively accelerated to 5 years to restore funding on an expedited timeline.</w:t>
            </w:r>
          </w:p>
        </w:tc>
      </w:tr>
      <w:tr w:rsidR="00AE531B" w14:paraId="3F7B4448" w14:textId="77777777">
        <w:tc>
          <w:tcPr>
            <w:tcW w:w="950" w:type="pct"/>
            <w:tcMar>
              <w:top w:w="90" w:type="dxa"/>
              <w:left w:w="135" w:type="dxa"/>
              <w:bottom w:w="90" w:type="dxa"/>
              <w:right w:w="135" w:type="dxa"/>
            </w:tcMar>
          </w:tcPr>
          <w:p w14:paraId="3F7F085C" w14:textId="77777777" w:rsidR="00AE531B" w:rsidRDefault="00C90EC8">
            <w:r>
              <w:rPr>
                <w:rFonts w:ascii="Calibri" w:eastAsia="Calibri" w:hAnsi="Calibri" w:cs="Calibri"/>
                <w:color w:val="000000"/>
                <w:sz w:val="22"/>
                <w:szCs w:val="22"/>
              </w:rPr>
              <w:t>Shuffleboard Courts</w:t>
            </w:r>
          </w:p>
        </w:tc>
        <w:tc>
          <w:tcPr>
            <w:tcW w:w="450" w:type="pct"/>
            <w:tcMar>
              <w:top w:w="90" w:type="dxa"/>
              <w:left w:w="135" w:type="dxa"/>
              <w:bottom w:w="90" w:type="dxa"/>
              <w:right w:w="135" w:type="dxa"/>
            </w:tcMar>
          </w:tcPr>
          <w:p w14:paraId="077074C9" w14:textId="77777777" w:rsidR="00AE531B" w:rsidRDefault="00C90EC8">
            <w:r>
              <w:rPr>
                <w:rFonts w:ascii="Calibri" w:eastAsia="Calibri" w:hAnsi="Calibri" w:cs="Calibri"/>
                <w:b/>
                <w:bCs/>
                <w:color w:val="8B1A1A"/>
                <w:sz w:val="22"/>
                <w:szCs w:val="22"/>
              </w:rPr>
              <w:t>22%</w:t>
            </w:r>
          </w:p>
        </w:tc>
        <w:tc>
          <w:tcPr>
            <w:tcW w:w="3600" w:type="pct"/>
            <w:tcMar>
              <w:top w:w="90" w:type="dxa"/>
              <w:left w:w="135" w:type="dxa"/>
              <w:bottom w:w="90" w:type="dxa"/>
              <w:right w:w="135" w:type="dxa"/>
            </w:tcMar>
          </w:tcPr>
          <w:p w14:paraId="003D01D0" w14:textId="77777777" w:rsidR="00AE531B" w:rsidRDefault="00C90EC8">
            <w:r>
              <w:rPr>
                <w:rFonts w:ascii="Calibri" w:eastAsia="Calibri" w:hAnsi="Calibri" w:cs="Calibri"/>
                <w:color w:val="000000"/>
                <w:sz w:val="22"/>
                <w:szCs w:val="22"/>
              </w:rPr>
              <w:t>Future use is under board discussion — whether to maintain as a shuffleboard facility or convert to an alternative recreational use. Funding strategy will be determined following that decision.</w:t>
            </w:r>
          </w:p>
        </w:tc>
      </w:tr>
      <w:tr w:rsidR="00AE531B" w14:paraId="0D472E55" w14:textId="77777777">
        <w:tc>
          <w:tcPr>
            <w:tcW w:w="950" w:type="pct"/>
            <w:tcMar>
              <w:top w:w="90" w:type="dxa"/>
              <w:left w:w="135" w:type="dxa"/>
              <w:bottom w:w="90" w:type="dxa"/>
              <w:right w:w="135" w:type="dxa"/>
            </w:tcMar>
          </w:tcPr>
          <w:p w14:paraId="76F74F14" w14:textId="77777777" w:rsidR="00AE531B" w:rsidRDefault="00C90EC8">
            <w:r>
              <w:rPr>
                <w:rFonts w:ascii="Calibri" w:eastAsia="Calibri" w:hAnsi="Calibri" w:cs="Calibri"/>
                <w:color w:val="000000"/>
                <w:sz w:val="22"/>
                <w:szCs w:val="22"/>
              </w:rPr>
              <w:t>Street / Parking Lot — Clubhouse</w:t>
            </w:r>
          </w:p>
        </w:tc>
        <w:tc>
          <w:tcPr>
            <w:tcW w:w="450" w:type="pct"/>
            <w:tcMar>
              <w:top w:w="90" w:type="dxa"/>
              <w:left w:w="135" w:type="dxa"/>
              <w:bottom w:w="90" w:type="dxa"/>
              <w:right w:w="135" w:type="dxa"/>
            </w:tcMar>
          </w:tcPr>
          <w:p w14:paraId="08A1A117" w14:textId="77777777" w:rsidR="00AE531B" w:rsidRDefault="00C90EC8">
            <w:r>
              <w:rPr>
                <w:rFonts w:ascii="Calibri" w:eastAsia="Calibri" w:hAnsi="Calibri" w:cs="Calibri"/>
                <w:b/>
                <w:bCs/>
                <w:color w:val="000000"/>
                <w:sz w:val="22"/>
                <w:szCs w:val="22"/>
              </w:rPr>
              <w:t>60%</w:t>
            </w:r>
          </w:p>
        </w:tc>
        <w:tc>
          <w:tcPr>
            <w:tcW w:w="3600" w:type="pct"/>
            <w:tcMar>
              <w:top w:w="90" w:type="dxa"/>
              <w:left w:w="135" w:type="dxa"/>
              <w:bottom w:w="90" w:type="dxa"/>
              <w:right w:w="135" w:type="dxa"/>
            </w:tcMar>
          </w:tcPr>
          <w:p w14:paraId="3BAD9558" w14:textId="77777777" w:rsidR="00AE531B" w:rsidRDefault="00C90EC8">
            <w:r>
              <w:rPr>
                <w:rFonts w:ascii="Calibri" w:eastAsia="Calibri" w:hAnsi="Calibri" w:cs="Calibri"/>
                <w:color w:val="000000"/>
                <w:sz w:val="22"/>
                <w:szCs w:val="22"/>
              </w:rPr>
              <w:t>Resurfacing was completed in 2016; no additional work is anticipated until approximately 2036.</w:t>
            </w:r>
          </w:p>
        </w:tc>
      </w:tr>
      <w:tr w:rsidR="00AE531B" w14:paraId="7A8F1509" w14:textId="77777777">
        <w:tc>
          <w:tcPr>
            <w:tcW w:w="950" w:type="pct"/>
            <w:tcMar>
              <w:top w:w="90" w:type="dxa"/>
              <w:left w:w="135" w:type="dxa"/>
              <w:bottom w:w="90" w:type="dxa"/>
              <w:right w:w="135" w:type="dxa"/>
            </w:tcMar>
          </w:tcPr>
          <w:p w14:paraId="7EC932CA" w14:textId="77777777" w:rsidR="00AE531B" w:rsidRDefault="00C90EC8">
            <w:r>
              <w:rPr>
                <w:rFonts w:ascii="Calibri" w:eastAsia="Calibri" w:hAnsi="Calibri" w:cs="Calibri"/>
                <w:color w:val="000000"/>
                <w:sz w:val="22"/>
                <w:szCs w:val="22"/>
              </w:rPr>
              <w:t>Clubhouse Roof</w:t>
            </w:r>
          </w:p>
        </w:tc>
        <w:tc>
          <w:tcPr>
            <w:tcW w:w="450" w:type="pct"/>
            <w:tcMar>
              <w:top w:w="90" w:type="dxa"/>
              <w:left w:w="135" w:type="dxa"/>
              <w:bottom w:w="90" w:type="dxa"/>
              <w:right w:w="135" w:type="dxa"/>
            </w:tcMar>
          </w:tcPr>
          <w:p w14:paraId="07AE6D44" w14:textId="77777777" w:rsidR="00AE531B" w:rsidRDefault="00C90EC8">
            <w:r>
              <w:rPr>
                <w:rFonts w:ascii="Calibri" w:eastAsia="Calibri" w:hAnsi="Calibri" w:cs="Calibri"/>
                <w:b/>
                <w:bCs/>
                <w:color w:val="000000"/>
                <w:sz w:val="22"/>
                <w:szCs w:val="22"/>
              </w:rPr>
              <w:t>34%</w:t>
            </w:r>
          </w:p>
        </w:tc>
        <w:tc>
          <w:tcPr>
            <w:tcW w:w="3600" w:type="pct"/>
            <w:tcMar>
              <w:top w:w="90" w:type="dxa"/>
              <w:left w:w="135" w:type="dxa"/>
              <w:bottom w:w="90" w:type="dxa"/>
              <w:right w:w="135" w:type="dxa"/>
            </w:tcMar>
          </w:tcPr>
          <w:p w14:paraId="49A2832C" w14:textId="77777777" w:rsidR="00AE531B" w:rsidRDefault="00C90EC8">
            <w:r>
              <w:rPr>
                <w:rFonts w:ascii="Calibri" w:eastAsia="Calibri" w:hAnsi="Calibri" w:cs="Calibri"/>
                <w:color w:val="000000"/>
                <w:sz w:val="22"/>
                <w:szCs w:val="22"/>
              </w:rPr>
              <w:t xml:space="preserve">Roof replaced in 2019; additional repairs completed in 2023 following hurricane damage. Replacement </w:t>
            </w:r>
            <w:proofErr w:type="gramStart"/>
            <w:r>
              <w:rPr>
                <w:rFonts w:ascii="Calibri" w:eastAsia="Calibri" w:hAnsi="Calibri" w:cs="Calibri"/>
                <w:color w:val="000000"/>
                <w:sz w:val="22"/>
                <w:szCs w:val="22"/>
              </w:rPr>
              <w:t>not</w:t>
            </w:r>
            <w:proofErr w:type="gramEnd"/>
            <w:r>
              <w:rPr>
                <w:rFonts w:ascii="Calibri" w:eastAsia="Calibri" w:hAnsi="Calibri" w:cs="Calibri"/>
                <w:color w:val="000000"/>
                <w:sz w:val="22"/>
                <w:szCs w:val="22"/>
              </w:rPr>
              <w:t xml:space="preserve"> projected until approximately 2047.</w:t>
            </w:r>
          </w:p>
        </w:tc>
      </w:tr>
      <w:tr w:rsidR="00AE531B" w14:paraId="2E36F2FF" w14:textId="77777777">
        <w:tc>
          <w:tcPr>
            <w:tcW w:w="950" w:type="pct"/>
            <w:tcMar>
              <w:top w:w="90" w:type="dxa"/>
              <w:left w:w="135" w:type="dxa"/>
              <w:bottom w:w="90" w:type="dxa"/>
              <w:right w:w="135" w:type="dxa"/>
            </w:tcMar>
          </w:tcPr>
          <w:p w14:paraId="5E26E33E" w14:textId="77777777" w:rsidR="00AE531B" w:rsidRDefault="00C90EC8">
            <w:r>
              <w:rPr>
                <w:rFonts w:ascii="Calibri" w:eastAsia="Calibri" w:hAnsi="Calibri" w:cs="Calibri"/>
                <w:color w:val="000000"/>
                <w:sz w:val="22"/>
                <w:szCs w:val="22"/>
              </w:rPr>
              <w:t>Clubhouse Furniture &amp; Carpet</w:t>
            </w:r>
          </w:p>
        </w:tc>
        <w:tc>
          <w:tcPr>
            <w:tcW w:w="450" w:type="pct"/>
            <w:tcMar>
              <w:top w:w="90" w:type="dxa"/>
              <w:left w:w="135" w:type="dxa"/>
              <w:bottom w:w="90" w:type="dxa"/>
              <w:right w:w="135" w:type="dxa"/>
            </w:tcMar>
          </w:tcPr>
          <w:p w14:paraId="14E8ADCC" w14:textId="77777777" w:rsidR="00AE531B" w:rsidRDefault="00C90EC8">
            <w:r>
              <w:rPr>
                <w:rFonts w:ascii="Calibri" w:eastAsia="Calibri" w:hAnsi="Calibri" w:cs="Calibri"/>
                <w:b/>
                <w:bCs/>
                <w:color w:val="8B1A1A"/>
                <w:sz w:val="22"/>
                <w:szCs w:val="22"/>
              </w:rPr>
              <w:t>14%</w:t>
            </w:r>
          </w:p>
        </w:tc>
        <w:tc>
          <w:tcPr>
            <w:tcW w:w="3600" w:type="pct"/>
            <w:tcMar>
              <w:top w:w="90" w:type="dxa"/>
              <w:left w:w="135" w:type="dxa"/>
              <w:bottom w:w="90" w:type="dxa"/>
              <w:right w:w="135" w:type="dxa"/>
            </w:tcMar>
          </w:tcPr>
          <w:p w14:paraId="3D6030A5" w14:textId="77777777" w:rsidR="00AE531B" w:rsidRDefault="00C90EC8">
            <w:r>
              <w:rPr>
                <w:rFonts w:ascii="Calibri" w:eastAsia="Calibri" w:hAnsi="Calibri" w:cs="Calibri"/>
                <w:color w:val="000000"/>
                <w:sz w:val="22"/>
                <w:szCs w:val="22"/>
              </w:rPr>
              <w:t xml:space="preserve">Complete interior renovation — flooring, doors, walls, ceiling, paint, and furniture — was completed in 2023. Full renovation </w:t>
            </w:r>
            <w:proofErr w:type="gramStart"/>
            <w:r>
              <w:rPr>
                <w:rFonts w:ascii="Calibri" w:eastAsia="Calibri" w:hAnsi="Calibri" w:cs="Calibri"/>
                <w:color w:val="000000"/>
                <w:sz w:val="22"/>
                <w:szCs w:val="22"/>
              </w:rPr>
              <w:t>not</w:t>
            </w:r>
            <w:proofErr w:type="gramEnd"/>
            <w:r>
              <w:rPr>
                <w:rFonts w:ascii="Calibri" w:eastAsia="Calibri" w:hAnsi="Calibri" w:cs="Calibri"/>
                <w:color w:val="000000"/>
                <w:sz w:val="22"/>
                <w:szCs w:val="22"/>
              </w:rPr>
              <w:t xml:space="preserve"> anticipated until 2036 or later.</w:t>
            </w:r>
          </w:p>
        </w:tc>
      </w:tr>
      <w:tr w:rsidR="00AE531B" w14:paraId="4E076A53" w14:textId="77777777">
        <w:tc>
          <w:tcPr>
            <w:tcW w:w="950" w:type="pct"/>
            <w:tcMar>
              <w:top w:w="90" w:type="dxa"/>
              <w:left w:w="135" w:type="dxa"/>
              <w:bottom w:w="90" w:type="dxa"/>
              <w:right w:w="135" w:type="dxa"/>
            </w:tcMar>
          </w:tcPr>
          <w:p w14:paraId="0D14FE4D" w14:textId="77777777" w:rsidR="00AE531B" w:rsidRDefault="00C90EC8">
            <w:r>
              <w:rPr>
                <w:rFonts w:ascii="Calibri" w:eastAsia="Calibri" w:hAnsi="Calibri" w:cs="Calibri"/>
                <w:color w:val="000000"/>
                <w:sz w:val="22"/>
                <w:szCs w:val="22"/>
              </w:rPr>
              <w:t>Clubhouse AC &amp; Heating</w:t>
            </w:r>
          </w:p>
        </w:tc>
        <w:tc>
          <w:tcPr>
            <w:tcW w:w="450" w:type="pct"/>
            <w:tcMar>
              <w:top w:w="90" w:type="dxa"/>
              <w:left w:w="135" w:type="dxa"/>
              <w:bottom w:w="90" w:type="dxa"/>
              <w:right w:w="135" w:type="dxa"/>
            </w:tcMar>
          </w:tcPr>
          <w:p w14:paraId="796C8565" w14:textId="15730721" w:rsidR="00AE531B" w:rsidRDefault="001B35AA">
            <w:r>
              <w:rPr>
                <w:rFonts w:ascii="Calibri" w:eastAsia="Calibri" w:hAnsi="Calibri" w:cs="Calibri"/>
                <w:b/>
                <w:bCs/>
                <w:color w:val="000000"/>
                <w:sz w:val="22"/>
                <w:szCs w:val="22"/>
              </w:rPr>
              <w:t>59</w:t>
            </w:r>
            <w:r w:rsidR="00605914">
              <w:rPr>
                <w:rFonts w:ascii="Calibri" w:eastAsia="Calibri" w:hAnsi="Calibri" w:cs="Calibri"/>
                <w:b/>
                <w:bCs/>
                <w:color w:val="000000"/>
                <w:sz w:val="22"/>
                <w:szCs w:val="22"/>
              </w:rPr>
              <w:t>%</w:t>
            </w:r>
          </w:p>
        </w:tc>
        <w:tc>
          <w:tcPr>
            <w:tcW w:w="3600" w:type="pct"/>
            <w:tcMar>
              <w:top w:w="90" w:type="dxa"/>
              <w:left w:w="135" w:type="dxa"/>
              <w:bottom w:w="90" w:type="dxa"/>
              <w:right w:w="135" w:type="dxa"/>
            </w:tcMar>
          </w:tcPr>
          <w:p w14:paraId="53466116" w14:textId="77777777" w:rsidR="00AE531B" w:rsidRDefault="00C90EC8">
            <w:r>
              <w:rPr>
                <w:rFonts w:ascii="Calibri" w:eastAsia="Calibri" w:hAnsi="Calibri" w:cs="Calibri"/>
                <w:color w:val="000000"/>
                <w:sz w:val="22"/>
                <w:szCs w:val="22"/>
              </w:rPr>
              <w:t>Funding percentage under evaluation; details to be included in next reserve study update.</w:t>
            </w:r>
          </w:p>
        </w:tc>
      </w:tr>
      <w:tr w:rsidR="00AE531B" w14:paraId="2113D27E" w14:textId="77777777">
        <w:tc>
          <w:tcPr>
            <w:tcW w:w="950" w:type="pct"/>
            <w:tcMar>
              <w:top w:w="90" w:type="dxa"/>
              <w:left w:w="135" w:type="dxa"/>
              <w:bottom w:w="90" w:type="dxa"/>
              <w:right w:w="135" w:type="dxa"/>
            </w:tcMar>
          </w:tcPr>
          <w:p w14:paraId="0D86CA1F" w14:textId="77777777" w:rsidR="00AE531B" w:rsidRDefault="00C90EC8">
            <w:r>
              <w:rPr>
                <w:rFonts w:ascii="Calibri" w:eastAsia="Calibri" w:hAnsi="Calibri" w:cs="Calibri"/>
                <w:color w:val="000000"/>
                <w:sz w:val="22"/>
                <w:szCs w:val="22"/>
              </w:rPr>
              <w:t>Pool Deck</w:t>
            </w:r>
          </w:p>
        </w:tc>
        <w:tc>
          <w:tcPr>
            <w:tcW w:w="450" w:type="pct"/>
            <w:tcMar>
              <w:top w:w="90" w:type="dxa"/>
              <w:left w:w="135" w:type="dxa"/>
              <w:bottom w:w="90" w:type="dxa"/>
              <w:right w:w="135" w:type="dxa"/>
            </w:tcMar>
          </w:tcPr>
          <w:p w14:paraId="0704C42F" w14:textId="77777777" w:rsidR="00AE531B" w:rsidRDefault="00C90EC8">
            <w:r>
              <w:rPr>
                <w:rFonts w:ascii="Calibri" w:eastAsia="Calibri" w:hAnsi="Calibri" w:cs="Calibri"/>
                <w:b/>
                <w:bCs/>
                <w:color w:val="000000"/>
                <w:sz w:val="22"/>
                <w:szCs w:val="22"/>
              </w:rPr>
              <w:t>27%</w:t>
            </w:r>
          </w:p>
        </w:tc>
        <w:tc>
          <w:tcPr>
            <w:tcW w:w="3600" w:type="pct"/>
            <w:tcMar>
              <w:top w:w="90" w:type="dxa"/>
              <w:left w:w="135" w:type="dxa"/>
              <w:bottom w:w="90" w:type="dxa"/>
              <w:right w:w="135" w:type="dxa"/>
            </w:tcMar>
          </w:tcPr>
          <w:p w14:paraId="5CE6E609" w14:textId="77777777" w:rsidR="00AE531B" w:rsidRDefault="00C90EC8">
            <w:r>
              <w:rPr>
                <w:rFonts w:ascii="Calibri" w:eastAsia="Calibri" w:hAnsi="Calibri" w:cs="Calibri"/>
                <w:color w:val="000000"/>
                <w:sz w:val="22"/>
                <w:szCs w:val="22"/>
              </w:rPr>
              <w:t>Resurfaced in 2020 with an estimated remaining life of 15 years.</w:t>
            </w:r>
          </w:p>
        </w:tc>
      </w:tr>
      <w:tr w:rsidR="00AE531B" w14:paraId="676A6829" w14:textId="77777777">
        <w:tc>
          <w:tcPr>
            <w:tcW w:w="950" w:type="pct"/>
            <w:tcMar>
              <w:top w:w="90" w:type="dxa"/>
              <w:left w:w="135" w:type="dxa"/>
              <w:bottom w:w="90" w:type="dxa"/>
              <w:right w:w="135" w:type="dxa"/>
            </w:tcMar>
          </w:tcPr>
          <w:p w14:paraId="107F02D8" w14:textId="77777777" w:rsidR="00AE531B" w:rsidRDefault="00C90EC8">
            <w:r>
              <w:rPr>
                <w:rFonts w:ascii="Calibri" w:eastAsia="Calibri" w:hAnsi="Calibri" w:cs="Calibri"/>
                <w:color w:val="000000"/>
                <w:sz w:val="22"/>
                <w:szCs w:val="22"/>
              </w:rPr>
              <w:t>Pool Heater</w:t>
            </w:r>
          </w:p>
        </w:tc>
        <w:tc>
          <w:tcPr>
            <w:tcW w:w="450" w:type="pct"/>
            <w:tcMar>
              <w:top w:w="90" w:type="dxa"/>
              <w:left w:w="135" w:type="dxa"/>
              <w:bottom w:w="90" w:type="dxa"/>
              <w:right w:w="135" w:type="dxa"/>
            </w:tcMar>
          </w:tcPr>
          <w:p w14:paraId="739CCE7D" w14:textId="77777777" w:rsidR="00AE531B" w:rsidRDefault="00C90EC8">
            <w:r>
              <w:rPr>
                <w:rFonts w:ascii="Calibri" w:eastAsia="Calibri" w:hAnsi="Calibri" w:cs="Calibri"/>
                <w:b/>
                <w:bCs/>
                <w:color w:val="000000"/>
                <w:sz w:val="22"/>
                <w:szCs w:val="22"/>
              </w:rPr>
              <w:t>34%</w:t>
            </w:r>
          </w:p>
        </w:tc>
        <w:tc>
          <w:tcPr>
            <w:tcW w:w="3600" w:type="pct"/>
            <w:tcMar>
              <w:top w:w="90" w:type="dxa"/>
              <w:left w:w="135" w:type="dxa"/>
              <w:bottom w:w="90" w:type="dxa"/>
              <w:right w:w="135" w:type="dxa"/>
            </w:tcMar>
          </w:tcPr>
          <w:p w14:paraId="61AA9030" w14:textId="77777777" w:rsidR="00AE531B" w:rsidRDefault="00C90EC8">
            <w:r>
              <w:rPr>
                <w:rFonts w:ascii="Calibri" w:eastAsia="Calibri" w:hAnsi="Calibri" w:cs="Calibri"/>
                <w:color w:val="000000"/>
                <w:sz w:val="22"/>
                <w:szCs w:val="22"/>
              </w:rPr>
              <w:t xml:space="preserve">Both pool heaters were installed </w:t>
            </w:r>
            <w:proofErr w:type="gramStart"/>
            <w:r>
              <w:rPr>
                <w:rFonts w:ascii="Calibri" w:eastAsia="Calibri" w:hAnsi="Calibri" w:cs="Calibri"/>
                <w:color w:val="000000"/>
                <w:sz w:val="22"/>
                <w:szCs w:val="22"/>
              </w:rPr>
              <w:t>within</w:t>
            </w:r>
            <w:proofErr w:type="gramEnd"/>
            <w:r>
              <w:rPr>
                <w:rFonts w:ascii="Calibri" w:eastAsia="Calibri" w:hAnsi="Calibri" w:cs="Calibri"/>
                <w:color w:val="000000"/>
                <w:sz w:val="22"/>
                <w:szCs w:val="22"/>
              </w:rPr>
              <w:t xml:space="preserve"> the last five years. Replacements </w:t>
            </w:r>
            <w:proofErr w:type="gramStart"/>
            <w:r>
              <w:rPr>
                <w:rFonts w:ascii="Calibri" w:eastAsia="Calibri" w:hAnsi="Calibri" w:cs="Calibri"/>
                <w:color w:val="000000"/>
                <w:sz w:val="22"/>
                <w:szCs w:val="22"/>
              </w:rPr>
              <w:t>not</w:t>
            </w:r>
            <w:proofErr w:type="gramEnd"/>
            <w:r>
              <w:rPr>
                <w:rFonts w:ascii="Calibri" w:eastAsia="Calibri" w:hAnsi="Calibri" w:cs="Calibri"/>
                <w:color w:val="000000"/>
                <w:sz w:val="22"/>
                <w:szCs w:val="22"/>
              </w:rPr>
              <w:t xml:space="preserve"> projected until 2028 and 2032, respectively.</w:t>
            </w:r>
          </w:p>
        </w:tc>
      </w:tr>
      <w:tr w:rsidR="00AE531B" w14:paraId="0155F801" w14:textId="77777777">
        <w:tc>
          <w:tcPr>
            <w:tcW w:w="950" w:type="pct"/>
            <w:tcMar>
              <w:top w:w="90" w:type="dxa"/>
              <w:left w:w="135" w:type="dxa"/>
              <w:bottom w:w="90" w:type="dxa"/>
              <w:right w:w="135" w:type="dxa"/>
            </w:tcMar>
          </w:tcPr>
          <w:p w14:paraId="782AEE38" w14:textId="77777777" w:rsidR="00AE531B" w:rsidRDefault="00C90EC8">
            <w:r>
              <w:rPr>
                <w:rFonts w:ascii="Calibri" w:eastAsia="Calibri" w:hAnsi="Calibri" w:cs="Calibri"/>
                <w:color w:val="000000"/>
                <w:sz w:val="22"/>
                <w:szCs w:val="22"/>
              </w:rPr>
              <w:t>Awnings</w:t>
            </w:r>
          </w:p>
        </w:tc>
        <w:tc>
          <w:tcPr>
            <w:tcW w:w="450" w:type="pct"/>
            <w:tcMar>
              <w:top w:w="90" w:type="dxa"/>
              <w:left w:w="135" w:type="dxa"/>
              <w:bottom w:w="90" w:type="dxa"/>
              <w:right w:w="135" w:type="dxa"/>
            </w:tcMar>
          </w:tcPr>
          <w:p w14:paraId="2201C7D1" w14:textId="77777777" w:rsidR="00AE531B" w:rsidRDefault="00C90EC8">
            <w:r>
              <w:rPr>
                <w:rFonts w:ascii="Calibri" w:eastAsia="Calibri" w:hAnsi="Calibri" w:cs="Calibri"/>
                <w:b/>
                <w:bCs/>
                <w:color w:val="000000"/>
                <w:sz w:val="22"/>
                <w:szCs w:val="22"/>
              </w:rPr>
              <w:t>56%</w:t>
            </w:r>
          </w:p>
        </w:tc>
        <w:tc>
          <w:tcPr>
            <w:tcW w:w="3600" w:type="pct"/>
            <w:tcMar>
              <w:top w:w="90" w:type="dxa"/>
              <w:left w:w="135" w:type="dxa"/>
              <w:bottom w:w="90" w:type="dxa"/>
              <w:right w:w="135" w:type="dxa"/>
            </w:tcMar>
          </w:tcPr>
          <w:p w14:paraId="395B5EF0" w14:textId="77777777" w:rsidR="00AE531B" w:rsidRDefault="00C90EC8">
            <w:r>
              <w:rPr>
                <w:rFonts w:ascii="Calibri" w:eastAsia="Calibri" w:hAnsi="Calibri" w:cs="Calibri"/>
                <w:color w:val="000000"/>
                <w:sz w:val="22"/>
                <w:szCs w:val="22"/>
              </w:rPr>
              <w:t>Pool awning was replaced in 2026 with an estimated remaining service life of 5 years.</w:t>
            </w:r>
          </w:p>
        </w:tc>
      </w:tr>
    </w:tbl>
    <w:p w14:paraId="5A17F788" w14:textId="77777777" w:rsidR="00AE531B" w:rsidRDefault="00AE531B">
      <w:pPr>
        <w:spacing w:after="200"/>
      </w:pPr>
    </w:p>
    <w:p w14:paraId="64800CF3" w14:textId="77777777" w:rsidR="00AE531B" w:rsidRDefault="00C90EC8">
      <w:pPr>
        <w:spacing w:before="60" w:after="240" w:line="360" w:lineRule="auto"/>
      </w:pPr>
      <w:r>
        <w:rPr>
          <w:rFonts w:ascii="Calibri" w:eastAsia="Calibri" w:hAnsi="Calibri" w:cs="Calibri"/>
          <w:i/>
          <w:iCs/>
          <w:color w:val="000000"/>
          <w:sz w:val="22"/>
          <w:szCs w:val="22"/>
        </w:rPr>
        <w:t>* Some replacement dates above are estimated due to general ledger records no longer available prior to the association's migration from Keys-Caldwell to Sunstate. The board is working to verify and document historical records to the extent possible.</w:t>
      </w:r>
    </w:p>
    <w:p w14:paraId="1F7DA4D7" w14:textId="77777777" w:rsidR="00AE531B" w:rsidRDefault="00AE531B">
      <w:pPr>
        <w:pBdr>
          <w:bottom w:val="single" w:sz="6" w:space="0" w:color="000000"/>
        </w:pBdr>
        <w:spacing w:before="240" w:after="240"/>
      </w:pPr>
    </w:p>
    <w:p w14:paraId="3229886D" w14:textId="77777777" w:rsidR="00AE531B" w:rsidRDefault="00C90EC8">
      <w:pPr>
        <w:pStyle w:val="Heading2"/>
        <w:spacing w:before="320" w:after="80" w:line="312" w:lineRule="auto"/>
      </w:pPr>
      <w:r>
        <w:rPr>
          <w:rFonts w:ascii="Calibri" w:eastAsia="Calibri" w:hAnsi="Calibri" w:cs="Calibri"/>
          <w:color w:val="1A3A5C"/>
          <w:sz w:val="28"/>
          <w:szCs w:val="28"/>
        </w:rPr>
        <w:t>4D — Overall Reserve Health</w:t>
      </w:r>
    </w:p>
    <w:p w14:paraId="7E637989" w14:textId="77777777" w:rsidR="00AE531B" w:rsidRDefault="00C90EC8">
      <w:pPr>
        <w:spacing w:before="60" w:after="240" w:line="360" w:lineRule="auto"/>
      </w:pPr>
      <w:proofErr w:type="gramStart"/>
      <w:r>
        <w:rPr>
          <w:rFonts w:ascii="Calibri" w:eastAsia="Calibri" w:hAnsi="Calibri" w:cs="Calibri"/>
          <w:color w:val="000000"/>
          <w:sz w:val="22"/>
          <w:szCs w:val="22"/>
        </w:rPr>
        <w:t>Reserve</w:t>
      </w:r>
      <w:proofErr w:type="gramEnd"/>
      <w:r>
        <w:rPr>
          <w:rFonts w:ascii="Calibri" w:eastAsia="Calibri" w:hAnsi="Calibri" w:cs="Calibri"/>
          <w:color w:val="000000"/>
          <w:sz w:val="22"/>
          <w:szCs w:val="22"/>
        </w:rPr>
        <w:t xml:space="preserve"> fund health is </w:t>
      </w:r>
      <w:r>
        <w:rPr>
          <w:rFonts w:ascii="Calibri" w:eastAsia="Calibri" w:hAnsi="Calibri" w:cs="Calibri"/>
          <w:b/>
          <w:bCs/>
          <w:color w:val="000000"/>
          <w:sz w:val="22"/>
          <w:szCs w:val="22"/>
        </w:rPr>
        <w:t>satisfactory</w:t>
      </w:r>
      <w:r>
        <w:rPr>
          <w:rFonts w:ascii="Calibri" w:eastAsia="Calibri" w:hAnsi="Calibri" w:cs="Calibri"/>
          <w:color w:val="000000"/>
          <w:sz w:val="22"/>
          <w:szCs w:val="22"/>
        </w:rPr>
        <w:t xml:space="preserve"> as of June 30, 2026. Categories funded below 70% reflect assets that were recently replaced or refurbished — in most cases the lower percentage is appropriate given the asset's actual remaining life. The board will continue to monitor and evaluate all reserve categories in connection with the annual reserve study update.</w:t>
      </w:r>
    </w:p>
    <w:p w14:paraId="493A88F6" w14:textId="77777777" w:rsidR="00AE531B" w:rsidRDefault="00AE531B">
      <w:pPr>
        <w:pBdr>
          <w:bottom w:val="single" w:sz="6" w:space="0" w:color="000000"/>
        </w:pBdr>
        <w:spacing w:before="240" w:after="240"/>
      </w:pPr>
    </w:p>
    <w:p w14:paraId="65A51982" w14:textId="77777777" w:rsidR="00AE531B" w:rsidRDefault="00C90EC8">
      <w:pPr>
        <w:spacing w:before="60" w:after="60" w:line="360" w:lineRule="auto"/>
      </w:pPr>
      <w:r>
        <w:rPr>
          <w:rFonts w:ascii="Calibri" w:eastAsia="Calibri" w:hAnsi="Calibri" w:cs="Calibri"/>
          <w:color w:val="555555"/>
          <w:spacing w:val="16"/>
          <w:sz w:val="18"/>
          <w:szCs w:val="18"/>
        </w:rPr>
        <w:t>SECTION 5</w:t>
      </w:r>
    </w:p>
    <w:p w14:paraId="09D08FC2" w14:textId="77777777" w:rsidR="00AE531B" w:rsidRDefault="00C90EC8">
      <w:pPr>
        <w:pStyle w:val="Heading1"/>
        <w:spacing w:before="440" w:after="120" w:line="312" w:lineRule="auto"/>
      </w:pPr>
      <w:r>
        <w:rPr>
          <w:rFonts w:ascii="Calibri" w:eastAsia="Calibri" w:hAnsi="Calibri" w:cs="Calibri"/>
          <w:color w:val="1A3A5C"/>
          <w:sz w:val="40"/>
          <w:szCs w:val="40"/>
        </w:rPr>
        <w:t>Treasurer's Closing Note</w:t>
      </w:r>
    </w:p>
    <w:p w14:paraId="2127BECD" w14:textId="77777777" w:rsidR="00AE531B" w:rsidRDefault="00C90EC8">
      <w:pPr>
        <w:spacing w:before="60" w:after="240" w:line="360" w:lineRule="auto"/>
      </w:pPr>
      <w:r>
        <w:rPr>
          <w:rFonts w:ascii="Calibri" w:eastAsia="Calibri" w:hAnsi="Calibri" w:cs="Calibri"/>
          <w:color w:val="000000"/>
          <w:sz w:val="22"/>
          <w:szCs w:val="22"/>
        </w:rPr>
        <w:t>The second half of 2026 will be important for monitoring administrative expenses and confirming whether the grounds savings fully offset the administrative overruns as planned. The board is committed to managing the year-end position responsibly and will take corrective action if conditions change materially.</w:t>
      </w:r>
    </w:p>
    <w:p w14:paraId="0CCF703A" w14:textId="77777777" w:rsidR="00AE531B" w:rsidRDefault="00C90EC8">
      <w:pPr>
        <w:spacing w:before="60" w:after="240" w:line="360" w:lineRule="auto"/>
      </w:pPr>
      <w:r>
        <w:rPr>
          <w:rFonts w:ascii="Calibri" w:eastAsia="Calibri" w:hAnsi="Calibri" w:cs="Calibri"/>
          <w:color w:val="000000"/>
          <w:sz w:val="22"/>
          <w:szCs w:val="22"/>
        </w:rPr>
        <w:t xml:space="preserve">Residents are encouraged to review the full June 30, </w:t>
      </w:r>
      <w:proofErr w:type="gramStart"/>
      <w:r>
        <w:rPr>
          <w:rFonts w:ascii="Calibri" w:eastAsia="Calibri" w:hAnsi="Calibri" w:cs="Calibri"/>
          <w:color w:val="000000"/>
          <w:sz w:val="22"/>
          <w:szCs w:val="22"/>
        </w:rPr>
        <w:t>2026</w:t>
      </w:r>
      <w:proofErr w:type="gramEnd"/>
      <w:r>
        <w:rPr>
          <w:rFonts w:ascii="Calibri" w:eastAsia="Calibri" w:hAnsi="Calibri" w:cs="Calibri"/>
          <w:color w:val="000000"/>
          <w:sz w:val="22"/>
          <w:szCs w:val="22"/>
        </w:rPr>
        <w:t xml:space="preserve"> Financial Report at </w:t>
      </w:r>
      <w:r>
        <w:rPr>
          <w:rFonts w:ascii="Calibri" w:eastAsia="Calibri" w:hAnsi="Calibri" w:cs="Calibri"/>
          <w:b/>
          <w:bCs/>
          <w:color w:val="000000"/>
          <w:sz w:val="22"/>
          <w:szCs w:val="22"/>
        </w:rPr>
        <w:t>thepatioschestnutcreek.com</w:t>
      </w:r>
      <w:r>
        <w:rPr>
          <w:rFonts w:ascii="Calibri" w:eastAsia="Calibri" w:hAnsi="Calibri" w:cs="Calibri"/>
          <w:color w:val="000000"/>
          <w:sz w:val="22"/>
          <w:szCs w:val="22"/>
        </w:rPr>
        <w:t xml:space="preserve"> or through the Sunstate portal. Questions may be directed to the board or property management.</w:t>
      </w:r>
    </w:p>
    <w:p w14:paraId="0D112BED" w14:textId="77777777" w:rsidR="00AE531B" w:rsidRDefault="00AE531B">
      <w:pPr>
        <w:pBdr>
          <w:bottom w:val="single" w:sz="6" w:space="0" w:color="000000"/>
        </w:pBdr>
        <w:spacing w:before="240" w:after="240"/>
      </w:pPr>
    </w:p>
    <w:p w14:paraId="66CEE82E" w14:textId="77777777" w:rsidR="00AE531B" w:rsidRDefault="00AE531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AE531B" w14:paraId="73F5C198" w14:textId="77777777">
        <w:tc>
          <w:tcPr>
            <w:tcW w:w="0" w:type="auto"/>
            <w:tcBorders>
              <w:top w:val="single" w:sz="6" w:space="0" w:color="B0BEC5"/>
              <w:left w:val="single" w:sz="6" w:space="0" w:color="B0BEC5"/>
              <w:bottom w:val="single" w:sz="6" w:space="0" w:color="B0BEC5"/>
              <w:right w:val="single" w:sz="6" w:space="0" w:color="B0BEC5"/>
            </w:tcBorders>
            <w:shd w:val="clear" w:color="auto" w:fill="F9F9F9"/>
            <w:tcMar>
              <w:top w:w="150" w:type="dxa"/>
              <w:left w:w="210" w:type="dxa"/>
              <w:bottom w:w="150" w:type="dxa"/>
              <w:right w:w="210" w:type="dxa"/>
            </w:tcMar>
          </w:tcPr>
          <w:p w14:paraId="2AAE18AF" w14:textId="77777777" w:rsidR="00AE531B" w:rsidRDefault="00C90EC8">
            <w:pPr>
              <w:spacing w:after="120" w:line="408" w:lineRule="auto"/>
            </w:pPr>
            <w:r>
              <w:t>All figures presented are approximate and based on available financial data through June 30, 2026. Final year-end figures will be reported following the close of the fiscal year.</w:t>
            </w:r>
          </w:p>
        </w:tc>
      </w:tr>
    </w:tbl>
    <w:p w14:paraId="3610E41F" w14:textId="77777777" w:rsidR="00AE531B" w:rsidRDefault="00AE531B">
      <w:pPr>
        <w:spacing w:after="240"/>
      </w:pPr>
    </w:p>
    <w:p w14:paraId="410C5580" w14:textId="77777777" w:rsidR="00AE531B" w:rsidRDefault="00C90EC8">
      <w:pPr>
        <w:spacing w:before="60" w:after="360" w:line="360" w:lineRule="auto"/>
      </w:pPr>
      <w:r>
        <w:rPr>
          <w:rFonts w:ascii="Calibri" w:eastAsia="Calibri" w:hAnsi="Calibri" w:cs="Calibri"/>
          <w:color w:val="000000"/>
          <w:sz w:val="22"/>
          <w:szCs w:val="22"/>
        </w:rPr>
        <w:t>Respectfully submitted,</w:t>
      </w:r>
    </w:p>
    <w:p w14:paraId="1138D9FB" w14:textId="7D5B5C01" w:rsidR="00AE531B" w:rsidRDefault="00634734">
      <w:pPr>
        <w:pBdr>
          <w:bottom w:val="single" w:sz="6" w:space="0" w:color="000000"/>
        </w:pBdr>
        <w:spacing w:before="240" w:after="240"/>
      </w:pPr>
      <w:r>
        <w:t>Bill Davis</w:t>
      </w:r>
    </w:p>
    <w:p w14:paraId="4D0F3ACA" w14:textId="77777777" w:rsidR="00AE531B" w:rsidRDefault="00C90EC8">
      <w:pPr>
        <w:spacing w:after="240" w:line="360" w:lineRule="auto"/>
      </w:pPr>
      <w:r>
        <w:rPr>
          <w:rFonts w:ascii="Calibri" w:eastAsia="Calibri" w:hAnsi="Calibri" w:cs="Calibri"/>
          <w:b/>
          <w:bCs/>
          <w:color w:val="000000"/>
          <w:sz w:val="20"/>
          <w:szCs w:val="20"/>
        </w:rPr>
        <w:t>[Treasurer Name]</w:t>
      </w:r>
    </w:p>
    <w:p w14:paraId="5C4F3198" w14:textId="77777777" w:rsidR="00AE531B" w:rsidRDefault="00C90EC8">
      <w:pPr>
        <w:spacing w:after="240" w:line="360" w:lineRule="auto"/>
      </w:pPr>
      <w:r>
        <w:rPr>
          <w:rFonts w:ascii="Calibri" w:eastAsia="Calibri" w:hAnsi="Calibri" w:cs="Calibri"/>
          <w:color w:val="555555"/>
          <w:sz w:val="18"/>
          <w:szCs w:val="18"/>
        </w:rPr>
        <w:t>Treasurer, Patio Homes of Chestnut Creek Homeowners Association</w:t>
      </w:r>
    </w:p>
    <w:p w14:paraId="652E88BB" w14:textId="3FED75C7" w:rsidR="00AE531B" w:rsidRDefault="00C90EC8">
      <w:pPr>
        <w:spacing w:after="240" w:line="360" w:lineRule="auto"/>
      </w:pPr>
      <w:r>
        <w:rPr>
          <w:rFonts w:ascii="Calibri" w:eastAsia="Calibri" w:hAnsi="Calibri" w:cs="Calibri"/>
          <w:color w:val="555555"/>
          <w:sz w:val="18"/>
          <w:szCs w:val="18"/>
        </w:rPr>
        <w:lastRenderedPageBreak/>
        <w:t>Date: _</w:t>
      </w:r>
      <w:r w:rsidR="00634734">
        <w:rPr>
          <w:rFonts w:ascii="Calibri" w:eastAsia="Calibri" w:hAnsi="Calibri" w:cs="Calibri"/>
          <w:color w:val="555555"/>
          <w:sz w:val="18"/>
          <w:szCs w:val="18"/>
        </w:rPr>
        <w:t>August 1, 2026</w:t>
      </w:r>
      <w:r>
        <w:rPr>
          <w:rFonts w:ascii="Calibri" w:eastAsia="Calibri" w:hAnsi="Calibri" w:cs="Calibri"/>
          <w:color w:val="555555"/>
          <w:sz w:val="18"/>
          <w:szCs w:val="18"/>
        </w:rPr>
        <w:t>__________________________</w:t>
      </w:r>
    </w:p>
    <w:p w14:paraId="45405915" w14:textId="77777777" w:rsidR="00AE531B" w:rsidRDefault="00AE531B">
      <w:pPr>
        <w:pBdr>
          <w:bottom w:val="single" w:sz="6" w:space="0" w:color="B0BEC5"/>
        </w:pBdr>
        <w:spacing w:before="240" w:after="240"/>
      </w:pPr>
    </w:p>
    <w:p w14:paraId="50A64ABA" w14:textId="77777777" w:rsidR="00AE531B" w:rsidRDefault="00C90EC8">
      <w:pPr>
        <w:spacing w:before="60" w:after="240" w:line="360" w:lineRule="auto"/>
      </w:pPr>
      <w:r>
        <w:rPr>
          <w:rFonts w:ascii="Calibri" w:eastAsia="Calibri" w:hAnsi="Calibri" w:cs="Calibri"/>
          <w:color w:val="000000"/>
          <w:sz w:val="22"/>
          <w:szCs w:val="22"/>
        </w:rPr>
        <w:t xml:space="preserve">Patio Homes of Chestnut Creek </w:t>
      </w:r>
      <w:proofErr w:type="gramStart"/>
      <w:r>
        <w:rPr>
          <w:rFonts w:ascii="Calibri" w:eastAsia="Calibri" w:hAnsi="Calibri" w:cs="Calibri"/>
          <w:color w:val="000000"/>
          <w:sz w:val="22"/>
          <w:szCs w:val="22"/>
        </w:rPr>
        <w:t>HOA  |</w:t>
      </w:r>
      <w:proofErr w:type="gramEnd"/>
      <w:r>
        <w:rPr>
          <w:rFonts w:ascii="Calibri" w:eastAsia="Calibri" w:hAnsi="Calibri" w:cs="Calibri"/>
          <w:color w:val="000000"/>
          <w:sz w:val="22"/>
          <w:szCs w:val="22"/>
        </w:rPr>
        <w:t xml:space="preserve">  Treasurer's </w:t>
      </w:r>
      <w:proofErr w:type="gramStart"/>
      <w:r>
        <w:rPr>
          <w:rFonts w:ascii="Calibri" w:eastAsia="Calibri" w:hAnsi="Calibri" w:cs="Calibri"/>
          <w:color w:val="000000"/>
          <w:sz w:val="22"/>
          <w:szCs w:val="22"/>
        </w:rPr>
        <w:t>Report  |</w:t>
      </w:r>
      <w:proofErr w:type="gramEnd"/>
      <w:r>
        <w:rPr>
          <w:rFonts w:ascii="Calibri" w:eastAsia="Calibri" w:hAnsi="Calibri" w:cs="Calibri"/>
          <w:color w:val="000000"/>
          <w:sz w:val="22"/>
          <w:szCs w:val="22"/>
        </w:rPr>
        <w:t xml:space="preserve">  Period Ending June 30, </w:t>
      </w:r>
      <w:proofErr w:type="gramStart"/>
      <w:r>
        <w:rPr>
          <w:rFonts w:ascii="Calibri" w:eastAsia="Calibri" w:hAnsi="Calibri" w:cs="Calibri"/>
          <w:color w:val="000000"/>
          <w:sz w:val="22"/>
          <w:szCs w:val="22"/>
        </w:rPr>
        <w:t>2026  |</w:t>
      </w:r>
      <w:proofErr w:type="gramEnd"/>
      <w:r>
        <w:rPr>
          <w:rFonts w:ascii="Calibri" w:eastAsia="Calibri" w:hAnsi="Calibri" w:cs="Calibri"/>
          <w:color w:val="000000"/>
          <w:sz w:val="22"/>
          <w:szCs w:val="22"/>
        </w:rPr>
        <w:t xml:space="preserve">  Prepared August </w:t>
      </w:r>
      <w:proofErr w:type="gramStart"/>
      <w:r>
        <w:rPr>
          <w:rFonts w:ascii="Calibri" w:eastAsia="Calibri" w:hAnsi="Calibri" w:cs="Calibri"/>
          <w:color w:val="000000"/>
          <w:sz w:val="22"/>
          <w:szCs w:val="22"/>
        </w:rPr>
        <w:t>2026  |</w:t>
      </w:r>
      <w:proofErr w:type="gramEnd"/>
      <w:r>
        <w:rPr>
          <w:rFonts w:ascii="Calibri" w:eastAsia="Calibri" w:hAnsi="Calibri" w:cs="Calibri"/>
          <w:color w:val="000000"/>
          <w:sz w:val="22"/>
          <w:szCs w:val="22"/>
        </w:rPr>
        <w:t xml:space="preserve">  All figures approximate and unaudited</w:t>
      </w:r>
    </w:p>
    <w:p w14:paraId="022C10B1" w14:textId="77777777" w:rsidR="00165AD7" w:rsidRDefault="00165AD7">
      <w:pPr>
        <w:spacing w:before="360" w:after="240"/>
        <w:divId w:val="730735979"/>
        <w:rPr>
          <w:kern w:val="2"/>
          <w14:ligatures w14:val="standardContextual"/>
        </w:rPr>
      </w:pPr>
    </w:p>
    <w:sectPr w:rsidR="00165AD7">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36C9"/>
    <w:multiLevelType w:val="hybridMultilevel"/>
    <w:tmpl w:val="102E17CE"/>
    <w:lvl w:ilvl="0" w:tplc="882094D0">
      <w:start w:val="1"/>
      <w:numFmt w:val="bullet"/>
      <w:lvlText w:val="●"/>
      <w:lvlJc w:val="left"/>
      <w:pPr>
        <w:ind w:left="720" w:hanging="360"/>
      </w:pPr>
    </w:lvl>
    <w:lvl w:ilvl="1" w:tplc="790E9A50">
      <w:start w:val="1"/>
      <w:numFmt w:val="bullet"/>
      <w:lvlText w:val="○"/>
      <w:lvlJc w:val="left"/>
      <w:pPr>
        <w:ind w:left="1440" w:hanging="360"/>
      </w:pPr>
    </w:lvl>
    <w:lvl w:ilvl="2" w:tplc="87148FFA">
      <w:start w:val="1"/>
      <w:numFmt w:val="bullet"/>
      <w:lvlText w:val="■"/>
      <w:lvlJc w:val="left"/>
      <w:pPr>
        <w:ind w:left="2160" w:hanging="360"/>
      </w:pPr>
    </w:lvl>
    <w:lvl w:ilvl="3" w:tplc="16A651C2">
      <w:start w:val="1"/>
      <w:numFmt w:val="bullet"/>
      <w:lvlText w:val="●"/>
      <w:lvlJc w:val="left"/>
      <w:pPr>
        <w:ind w:left="2880" w:hanging="360"/>
      </w:pPr>
    </w:lvl>
    <w:lvl w:ilvl="4" w:tplc="E7F683D0">
      <w:start w:val="1"/>
      <w:numFmt w:val="bullet"/>
      <w:lvlText w:val="○"/>
      <w:lvlJc w:val="left"/>
      <w:pPr>
        <w:ind w:left="3600" w:hanging="360"/>
      </w:pPr>
    </w:lvl>
    <w:lvl w:ilvl="5" w:tplc="359AE76C">
      <w:start w:val="1"/>
      <w:numFmt w:val="bullet"/>
      <w:lvlText w:val="■"/>
      <w:lvlJc w:val="left"/>
      <w:pPr>
        <w:ind w:left="4320" w:hanging="360"/>
      </w:pPr>
    </w:lvl>
    <w:lvl w:ilvl="6" w:tplc="C50AA252">
      <w:start w:val="1"/>
      <w:numFmt w:val="bullet"/>
      <w:lvlText w:val="●"/>
      <w:lvlJc w:val="left"/>
      <w:pPr>
        <w:ind w:left="5040" w:hanging="360"/>
      </w:pPr>
    </w:lvl>
    <w:lvl w:ilvl="7" w:tplc="B0F2A842">
      <w:start w:val="1"/>
      <w:numFmt w:val="bullet"/>
      <w:lvlText w:val="●"/>
      <w:lvlJc w:val="left"/>
      <w:pPr>
        <w:ind w:left="5760" w:hanging="360"/>
      </w:pPr>
    </w:lvl>
    <w:lvl w:ilvl="8" w:tplc="744E3170">
      <w:start w:val="1"/>
      <w:numFmt w:val="bullet"/>
      <w:lvlText w:val="●"/>
      <w:lvlJc w:val="left"/>
      <w:pPr>
        <w:ind w:left="6480" w:hanging="360"/>
      </w:pPr>
    </w:lvl>
  </w:abstractNum>
  <w:abstractNum w:abstractNumId="1" w15:restartNumberingAfterBreak="0">
    <w:nsid w:val="453E2BFD"/>
    <w:multiLevelType w:val="hybridMultilevel"/>
    <w:tmpl w:val="A2228DFC"/>
    <w:lvl w:ilvl="0" w:tplc="769CB20E">
      <w:start w:val="1"/>
      <w:numFmt w:val="decimal"/>
      <w:lvlText w:val="%1."/>
      <w:lvlJc w:val="left"/>
      <w:pPr>
        <w:ind w:left="720" w:hanging="360"/>
      </w:pPr>
    </w:lvl>
    <w:lvl w:ilvl="1" w:tplc="53680FBC">
      <w:numFmt w:val="decimal"/>
      <w:lvlText w:val=""/>
      <w:lvlJc w:val="left"/>
    </w:lvl>
    <w:lvl w:ilvl="2" w:tplc="EC04EBB2">
      <w:numFmt w:val="decimal"/>
      <w:lvlText w:val=""/>
      <w:lvlJc w:val="left"/>
    </w:lvl>
    <w:lvl w:ilvl="3" w:tplc="BA1AEB82">
      <w:numFmt w:val="decimal"/>
      <w:lvlText w:val=""/>
      <w:lvlJc w:val="left"/>
    </w:lvl>
    <w:lvl w:ilvl="4" w:tplc="6D6AE376">
      <w:numFmt w:val="decimal"/>
      <w:lvlText w:val=""/>
      <w:lvlJc w:val="left"/>
    </w:lvl>
    <w:lvl w:ilvl="5" w:tplc="EC669DF0">
      <w:numFmt w:val="decimal"/>
      <w:lvlText w:val=""/>
      <w:lvlJc w:val="left"/>
    </w:lvl>
    <w:lvl w:ilvl="6" w:tplc="862262A6">
      <w:numFmt w:val="decimal"/>
      <w:lvlText w:val=""/>
      <w:lvlJc w:val="left"/>
    </w:lvl>
    <w:lvl w:ilvl="7" w:tplc="07FE1FD6">
      <w:numFmt w:val="decimal"/>
      <w:lvlText w:val=""/>
      <w:lvlJc w:val="left"/>
    </w:lvl>
    <w:lvl w:ilvl="8" w:tplc="D4D0E476">
      <w:numFmt w:val="decimal"/>
      <w:lvlText w:val=""/>
      <w:lvlJc w:val="left"/>
    </w:lvl>
  </w:abstractNum>
  <w:num w:numId="1" w16cid:durableId="572550128">
    <w:abstractNumId w:val="0"/>
    <w:lvlOverride w:ilvl="0">
      <w:startOverride w:val="1"/>
    </w:lvlOverride>
  </w:num>
  <w:num w:numId="2" w16cid:durableId="15676427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31B"/>
    <w:rsid w:val="00165AD7"/>
    <w:rsid w:val="001B1185"/>
    <w:rsid w:val="001B35AA"/>
    <w:rsid w:val="002B0E19"/>
    <w:rsid w:val="0030554D"/>
    <w:rsid w:val="004861C3"/>
    <w:rsid w:val="005B3F3B"/>
    <w:rsid w:val="00605914"/>
    <w:rsid w:val="00634734"/>
    <w:rsid w:val="006D70B3"/>
    <w:rsid w:val="00727012"/>
    <w:rsid w:val="009347E5"/>
    <w:rsid w:val="00AE531B"/>
    <w:rsid w:val="00C650E0"/>
    <w:rsid w:val="00EF4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E2EB3"/>
  <w15:docId w15:val="{8EE18093-A233-49E5-9B87-4D234ED9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000000"/>
      <w:sz w:val="48"/>
      <w:szCs w:val="48"/>
    </w:rPr>
  </w:style>
  <w:style w:type="paragraph" w:styleId="Heading2">
    <w:name w:val="heading 2"/>
    <w:link w:val="Heading2Char"/>
    <w:uiPriority w:val="9"/>
    <w:unhideWhenUsed/>
    <w:qFormat/>
    <w:pPr>
      <w:outlineLvl w:val="1"/>
    </w:pPr>
    <w:rPr>
      <w:b/>
      <w:bCs/>
      <w:color w:val="000000"/>
      <w:sz w:val="36"/>
      <w:szCs w:val="36"/>
    </w:rPr>
  </w:style>
  <w:style w:type="paragraph" w:styleId="Heading3">
    <w:name w:val="heading 3"/>
    <w:uiPriority w:val="9"/>
    <w:semiHidden/>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paragraph" w:styleId="Heading7">
    <w:name w:val="heading 7"/>
    <w:basedOn w:val="Normal"/>
    <w:next w:val="Normal"/>
    <w:link w:val="Heading7Char"/>
    <w:uiPriority w:val="9"/>
    <w:semiHidden/>
    <w:unhideWhenUsed/>
    <w:qFormat/>
    <w:rsid w:val="005B3F3B"/>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5B3F3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3F3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BookTitle">
    <w:name w:val="Book Title"/>
    <w:basedOn w:val="DefaultParagraphFont"/>
    <w:uiPriority w:val="33"/>
    <w:qFormat/>
    <w:rsid w:val="005B3F3B"/>
    <w:rPr>
      <w:b/>
      <w:bCs/>
      <w:i/>
      <w:iCs/>
      <w:spacing w:val="5"/>
    </w:rPr>
  </w:style>
  <w:style w:type="paragraph" w:styleId="Caption">
    <w:name w:val="caption"/>
    <w:basedOn w:val="Normal"/>
    <w:next w:val="Normal"/>
    <w:uiPriority w:val="35"/>
    <w:semiHidden/>
    <w:unhideWhenUsed/>
    <w:qFormat/>
    <w:rsid w:val="005B3F3B"/>
    <w:pPr>
      <w:spacing w:after="200"/>
    </w:pPr>
    <w:rPr>
      <w:i/>
      <w:iCs/>
      <w:color w:val="0E2841" w:themeColor="text2"/>
      <w:sz w:val="18"/>
      <w:szCs w:val="18"/>
    </w:rPr>
  </w:style>
  <w:style w:type="character" w:styleId="Emphasis">
    <w:name w:val="Emphasis"/>
    <w:basedOn w:val="DefaultParagraphFont"/>
    <w:uiPriority w:val="20"/>
    <w:qFormat/>
    <w:rsid w:val="005B3F3B"/>
    <w:rPr>
      <w:i/>
      <w:iCs/>
    </w:rPr>
  </w:style>
  <w:style w:type="character" w:customStyle="1" w:styleId="Heading7Char">
    <w:name w:val="Heading 7 Char"/>
    <w:basedOn w:val="DefaultParagraphFont"/>
    <w:link w:val="Heading7"/>
    <w:uiPriority w:val="9"/>
    <w:semiHidden/>
    <w:rsid w:val="005B3F3B"/>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5B3F3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B3F3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B3F3B"/>
    <w:rPr>
      <w:i/>
      <w:iCs/>
      <w:color w:val="156082" w:themeColor="accent1"/>
    </w:rPr>
  </w:style>
  <w:style w:type="paragraph" w:styleId="IntenseQuote">
    <w:name w:val="Intense Quote"/>
    <w:basedOn w:val="Normal"/>
    <w:next w:val="Normal"/>
    <w:link w:val="IntenseQuoteChar"/>
    <w:uiPriority w:val="30"/>
    <w:qFormat/>
    <w:rsid w:val="005B3F3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5B3F3B"/>
    <w:rPr>
      <w:i/>
      <w:iCs/>
      <w:color w:val="156082" w:themeColor="accent1"/>
    </w:rPr>
  </w:style>
  <w:style w:type="character" w:styleId="IntenseReference">
    <w:name w:val="Intense Reference"/>
    <w:basedOn w:val="DefaultParagraphFont"/>
    <w:uiPriority w:val="32"/>
    <w:qFormat/>
    <w:rsid w:val="005B3F3B"/>
    <w:rPr>
      <w:b/>
      <w:bCs/>
      <w:smallCaps/>
      <w:color w:val="156082" w:themeColor="accent1"/>
      <w:spacing w:val="5"/>
    </w:rPr>
  </w:style>
  <w:style w:type="paragraph" w:styleId="NoSpacing">
    <w:name w:val="No Spacing"/>
    <w:uiPriority w:val="1"/>
    <w:qFormat/>
    <w:rsid w:val="005B3F3B"/>
  </w:style>
  <w:style w:type="paragraph" w:styleId="Quote">
    <w:name w:val="Quote"/>
    <w:basedOn w:val="Normal"/>
    <w:next w:val="Normal"/>
    <w:link w:val="QuoteChar"/>
    <w:uiPriority w:val="29"/>
    <w:qFormat/>
    <w:rsid w:val="005B3F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B3F3B"/>
    <w:rPr>
      <w:i/>
      <w:iCs/>
      <w:color w:val="404040" w:themeColor="text1" w:themeTint="BF"/>
    </w:rPr>
  </w:style>
  <w:style w:type="character" w:styleId="Strong">
    <w:name w:val="Strong"/>
    <w:basedOn w:val="DefaultParagraphFont"/>
    <w:uiPriority w:val="22"/>
    <w:qFormat/>
    <w:rsid w:val="005B3F3B"/>
    <w:rPr>
      <w:b/>
      <w:bCs/>
    </w:rPr>
  </w:style>
  <w:style w:type="paragraph" w:styleId="Subtitle">
    <w:name w:val="Subtitle"/>
    <w:basedOn w:val="Normal"/>
    <w:next w:val="Normal"/>
    <w:link w:val="SubtitleChar"/>
    <w:uiPriority w:val="11"/>
    <w:qFormat/>
    <w:rsid w:val="005B3F3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B3F3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5B3F3B"/>
    <w:rPr>
      <w:i/>
      <w:iCs/>
      <w:color w:val="404040" w:themeColor="text1" w:themeTint="BF"/>
    </w:rPr>
  </w:style>
  <w:style w:type="character" w:styleId="SubtleReference">
    <w:name w:val="Subtle Reference"/>
    <w:basedOn w:val="DefaultParagraphFont"/>
    <w:uiPriority w:val="31"/>
    <w:qFormat/>
    <w:rsid w:val="005B3F3B"/>
    <w:rPr>
      <w:smallCaps/>
      <w:color w:val="5A5A5A" w:themeColor="text1" w:themeTint="A5"/>
    </w:rPr>
  </w:style>
  <w:style w:type="paragraph" w:styleId="TOCHeading">
    <w:name w:val="TOC Heading"/>
    <w:basedOn w:val="Heading1"/>
    <w:next w:val="Normal"/>
    <w:uiPriority w:val="39"/>
    <w:semiHidden/>
    <w:unhideWhenUsed/>
    <w:qFormat/>
    <w:rsid w:val="005B3F3B"/>
    <w:pPr>
      <w:keepNext/>
      <w:keepLines/>
      <w:spacing w:before="240"/>
      <w:outlineLvl w:val="9"/>
    </w:pPr>
    <w:rPr>
      <w:rFonts w:asciiTheme="majorHAnsi" w:eastAsiaTheme="majorEastAsia" w:hAnsiTheme="majorHAnsi" w:cstheme="majorBidi"/>
      <w:b w:val="0"/>
      <w:bCs w:val="0"/>
      <w:color w:val="0F4761" w:themeColor="accent1" w:themeShade="BF"/>
      <w:sz w:val="32"/>
      <w:szCs w:val="32"/>
    </w:rPr>
  </w:style>
  <w:style w:type="character" w:customStyle="1" w:styleId="Heading1Char">
    <w:name w:val="Heading 1 Char"/>
    <w:basedOn w:val="DefaultParagraphFont"/>
    <w:link w:val="Heading1"/>
    <w:uiPriority w:val="9"/>
    <w:rsid w:val="005B3F3B"/>
    <w:rPr>
      <w:b/>
      <w:bCs/>
      <w:color w:val="000000"/>
      <w:sz w:val="48"/>
      <w:szCs w:val="48"/>
    </w:rPr>
  </w:style>
  <w:style w:type="character" w:customStyle="1" w:styleId="Heading2Char">
    <w:name w:val="Heading 2 Char"/>
    <w:basedOn w:val="DefaultParagraphFont"/>
    <w:link w:val="Heading2"/>
    <w:uiPriority w:val="9"/>
    <w:rsid w:val="005B3F3B"/>
    <w:rPr>
      <w:b/>
      <w:bCs/>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735979">
      <w:marLeft w:val="0"/>
      <w:marRight w:val="0"/>
      <w:marTop w:val="0"/>
      <w:marBottom w:val="0"/>
      <w:divBdr>
        <w:top w:val="single" w:sz="6" w:space="0" w:color="1A3A5C"/>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789CB-52E9-43C2-BD33-96B0AF65B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c4tSc6K9hthVdMXzuVwRM</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c4tSc6K9hthVdMXzuVwRM</dc:title>
  <dc:creator>Un-named</dc:creator>
  <dc:description>Generated document</dc:description>
  <cp:lastModifiedBy>william davis</cp:lastModifiedBy>
  <cp:revision>4</cp:revision>
  <dcterms:created xsi:type="dcterms:W3CDTF">2026-08-07T14:59:00Z</dcterms:created>
  <dcterms:modified xsi:type="dcterms:W3CDTF">2026-08-31T16:26:00Z</dcterms:modified>
</cp:coreProperties>
</file>